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95E83" w14:textId="720C451D" w:rsidR="00DA4388" w:rsidRDefault="00DA4388" w:rsidP="00396D72">
      <w:pPr>
        <w:spacing w:after="200" w:line="240" w:lineRule="auto"/>
        <w:ind w:right="426"/>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DA4388" w14:paraId="55EFB4E8" w14:textId="77777777">
        <w:trPr>
          <w:tblCellSpacing w:w="0" w:type="dxa"/>
        </w:trPr>
        <w:tc>
          <w:tcPr>
            <w:tcW w:w="0" w:type="auto"/>
            <w:tcMar>
              <w:top w:w="0" w:type="dxa"/>
              <w:left w:w="0" w:type="dxa"/>
              <w:bottom w:w="0" w:type="dxa"/>
              <w:right w:w="0" w:type="dxa"/>
            </w:tcMar>
            <w:vAlign w:val="center"/>
            <w:hideMark/>
          </w:tcPr>
          <w:p w14:paraId="191BAE05" w14:textId="77777777" w:rsidR="00DA4388" w:rsidRDefault="005941C5" w:rsidP="00396D72">
            <w:pPr>
              <w:spacing w:after="0" w:line="240" w:lineRule="auto"/>
              <w:ind w:right="426"/>
              <w:jc w:val="center"/>
              <w:rPr>
                <w:rFonts w:cs="Calibri"/>
                <w:color w:val="000000"/>
                <w:sz w:val="24"/>
                <w:szCs w:val="24"/>
              </w:rPr>
            </w:pPr>
            <w:r>
              <w:rPr>
                <w:rFonts w:cs="Calibri"/>
                <w:noProof/>
                <w:color w:val="000000"/>
                <w:sz w:val="24"/>
                <w:szCs w:val="24"/>
              </w:rPr>
              <w:drawing>
                <wp:inline distT="0" distB="0" distL="0" distR="0" wp14:anchorId="172C136E" wp14:editId="10F22EF1">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7FBFFDF" w14:textId="77777777" w:rsidR="00DA4388" w:rsidRDefault="005941C5" w:rsidP="00396D72">
      <w:pPr>
        <w:spacing w:after="200" w:line="240" w:lineRule="auto"/>
        <w:ind w:right="426"/>
        <w:jc w:val="both"/>
        <w:rPr>
          <w:rFonts w:cs="Calibri"/>
          <w:sz w:val="20"/>
          <w:szCs w:val="20"/>
        </w:rPr>
      </w:pPr>
      <w:r>
        <w:rPr>
          <w:rFonts w:cs="Calibri"/>
          <w:sz w:val="20"/>
          <w:szCs w:val="20"/>
        </w:rPr>
        <w:t> </w:t>
      </w:r>
    </w:p>
    <w:p w14:paraId="4993F4D0"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4C23B17E"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105D1820" w14:textId="77777777" w:rsidR="00DA4388" w:rsidRDefault="005941C5" w:rsidP="00396D72">
      <w:pPr>
        <w:spacing w:before="200" w:after="200" w:line="240" w:lineRule="auto"/>
        <w:ind w:right="426"/>
        <w:jc w:val="center"/>
        <w:rPr>
          <w:rFonts w:cs="Calibri"/>
          <w:sz w:val="20"/>
          <w:szCs w:val="20"/>
        </w:rPr>
      </w:pPr>
      <w:r>
        <w:rPr>
          <w:rFonts w:cs="Calibri"/>
          <w:sz w:val="20"/>
          <w:szCs w:val="20"/>
        </w:rPr>
        <w:t> </w:t>
      </w:r>
    </w:p>
    <w:p w14:paraId="5E7345EF"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074ED884"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77468F4A" w14:textId="35D9B90C" w:rsidR="00DA4388" w:rsidRPr="002246D0" w:rsidRDefault="005941C5" w:rsidP="00396D72">
      <w:pPr>
        <w:spacing w:before="200" w:after="200" w:line="240" w:lineRule="auto"/>
        <w:ind w:right="426"/>
        <w:jc w:val="both"/>
        <w:rPr>
          <w:rFonts w:asciiTheme="minorHAnsi" w:hAnsiTheme="minorHAnsi" w:cstheme="minorHAnsi"/>
        </w:rPr>
      </w:pPr>
      <w:r w:rsidRPr="002246D0">
        <w:rPr>
          <w:rFonts w:asciiTheme="minorHAnsi" w:hAnsiTheme="minorHAnsi" w:cstheme="minorHAnsi"/>
          <w:b/>
          <w:bCs/>
        </w:rPr>
        <w:t>EXM</w:t>
      </w:r>
      <w:r w:rsidR="004C7639" w:rsidRPr="002246D0">
        <w:rPr>
          <w:rFonts w:asciiTheme="minorHAnsi" w:hAnsiTheme="minorHAnsi" w:cstheme="minorHAnsi"/>
          <w:b/>
          <w:bCs/>
        </w:rPr>
        <w:t>O</w:t>
      </w:r>
      <w:r w:rsidRPr="002246D0">
        <w:rPr>
          <w:rFonts w:asciiTheme="minorHAnsi" w:hAnsiTheme="minorHAnsi" w:cstheme="minorHAnsi"/>
          <w:b/>
          <w:bCs/>
        </w:rPr>
        <w:t xml:space="preserve">. SR. DR. JUIZ </w:t>
      </w:r>
      <w:r w:rsidR="008B00C4" w:rsidRPr="002246D0">
        <w:rPr>
          <w:rFonts w:asciiTheme="minorHAnsi" w:hAnsiTheme="minorHAnsi" w:cstheme="minorHAnsi"/>
          <w:b/>
          <w:bCs/>
        </w:rPr>
        <w:t>FEDERAL</w:t>
      </w:r>
      <w:r w:rsidR="004C7639" w:rsidRPr="002246D0">
        <w:rPr>
          <w:rFonts w:asciiTheme="minorHAnsi" w:hAnsiTheme="minorHAnsi" w:cstheme="minorHAnsi"/>
          <w:b/>
          <w:bCs/>
        </w:rPr>
        <w:t xml:space="preserve"> </w:t>
      </w:r>
      <w:r w:rsidRPr="002246D0">
        <w:rPr>
          <w:rFonts w:asciiTheme="minorHAnsi" w:hAnsiTheme="minorHAnsi" w:cstheme="minorHAnsi"/>
          <w:b/>
          <w:bCs/>
        </w:rPr>
        <w:t>D</w:t>
      </w:r>
      <w:r w:rsidR="008B00C4" w:rsidRPr="002246D0">
        <w:rPr>
          <w:rFonts w:asciiTheme="minorHAnsi" w:hAnsiTheme="minorHAnsi" w:cstheme="minorHAnsi"/>
          <w:b/>
          <w:bCs/>
        </w:rPr>
        <w:t>A</w:t>
      </w:r>
      <w:r w:rsidRPr="002246D0">
        <w:rPr>
          <w:rFonts w:asciiTheme="minorHAnsi" w:hAnsiTheme="minorHAnsi" w:cstheme="minorHAnsi"/>
          <w:b/>
          <w:bCs/>
        </w:rPr>
        <w:t xml:space="preserve"> </w:t>
      </w:r>
      <w:r w:rsidR="00396D72" w:rsidRPr="002246D0">
        <w:rPr>
          <w:rFonts w:asciiTheme="minorHAnsi" w:hAnsiTheme="minorHAnsi" w:cstheme="minorHAnsi"/>
          <w:b/>
          <w:bCs/>
        </w:rPr>
        <w:t xml:space="preserve">1ª VARA FEDERAL DA SUBSEÇÃO DE </w:t>
      </w:r>
      <w:r w:rsidR="003C3A10">
        <w:rPr>
          <w:rFonts w:asciiTheme="minorHAnsi" w:hAnsiTheme="minorHAnsi" w:cstheme="minorHAnsi"/>
          <w:b/>
          <w:bCs/>
        </w:rPr>
        <w:t>BENTO GONÇALVES</w:t>
      </w:r>
      <w:r w:rsidR="004C7639" w:rsidRPr="002246D0">
        <w:rPr>
          <w:rFonts w:asciiTheme="minorHAnsi" w:hAnsiTheme="minorHAnsi" w:cstheme="minorHAnsi"/>
          <w:b/>
          <w:bCs/>
        </w:rPr>
        <w:t xml:space="preserve"> DA</w:t>
      </w:r>
      <w:r w:rsidRPr="002246D0">
        <w:rPr>
          <w:rFonts w:asciiTheme="minorHAnsi" w:hAnsiTheme="minorHAnsi" w:cstheme="minorHAnsi"/>
          <w:b/>
          <w:bCs/>
        </w:rPr>
        <w:t xml:space="preserve"> </w:t>
      </w:r>
      <w:r w:rsidR="008B00C4" w:rsidRPr="002246D0">
        <w:rPr>
          <w:rFonts w:asciiTheme="minorHAnsi" w:hAnsiTheme="minorHAnsi" w:cstheme="minorHAnsi"/>
          <w:b/>
          <w:bCs/>
        </w:rPr>
        <w:t>SEÇÃO JUDICIÁRIA DO RIO GRANDE DO SUL</w:t>
      </w:r>
    </w:p>
    <w:p w14:paraId="68F3FC25" w14:textId="77777777" w:rsidR="00DA4388" w:rsidRPr="002246D0" w:rsidRDefault="005941C5" w:rsidP="00396D72">
      <w:pPr>
        <w:spacing w:before="200" w:after="200" w:line="240" w:lineRule="auto"/>
        <w:ind w:right="426"/>
        <w:jc w:val="both"/>
        <w:rPr>
          <w:rFonts w:asciiTheme="minorHAnsi" w:hAnsiTheme="minorHAnsi" w:cstheme="minorHAnsi"/>
        </w:rPr>
      </w:pPr>
      <w:r w:rsidRPr="002246D0">
        <w:rPr>
          <w:rFonts w:asciiTheme="minorHAnsi" w:hAnsiTheme="minorHAnsi" w:cstheme="minorHAnsi"/>
        </w:rPr>
        <w:t> </w:t>
      </w:r>
    </w:p>
    <w:p w14:paraId="731D17CA" w14:textId="4DD9FEBE" w:rsidR="00DA4388" w:rsidRPr="002246D0" w:rsidRDefault="005941C5" w:rsidP="00551589">
      <w:pPr>
        <w:spacing w:before="200" w:after="200" w:line="240" w:lineRule="auto"/>
        <w:ind w:right="426"/>
        <w:jc w:val="both"/>
        <w:rPr>
          <w:rFonts w:asciiTheme="minorHAnsi" w:hAnsiTheme="minorHAnsi" w:cstheme="minorHAnsi"/>
          <w:b/>
          <w:bCs/>
        </w:rPr>
      </w:pPr>
      <w:r w:rsidRPr="002246D0">
        <w:rPr>
          <w:rFonts w:asciiTheme="minorHAnsi" w:hAnsiTheme="minorHAnsi" w:cstheme="minorHAnsi"/>
          <w:b/>
          <w:bCs/>
        </w:rPr>
        <w:t xml:space="preserve">Processo: </w:t>
      </w:r>
      <w:r w:rsidR="003C3A10" w:rsidRPr="003C3A10">
        <w:rPr>
          <w:rFonts w:asciiTheme="minorHAnsi" w:hAnsiTheme="minorHAnsi" w:cstheme="minorHAnsi"/>
          <w:b/>
          <w:bCs/>
        </w:rPr>
        <w:t>5002902-66.2023.4.04.7118/RS</w:t>
      </w:r>
    </w:p>
    <w:p w14:paraId="70D5ED8D" w14:textId="77777777" w:rsidR="005941C5" w:rsidRPr="002246D0" w:rsidRDefault="005941C5" w:rsidP="00396D72">
      <w:pPr>
        <w:spacing w:before="200" w:after="200" w:line="240" w:lineRule="auto"/>
        <w:ind w:right="426"/>
        <w:jc w:val="both"/>
        <w:rPr>
          <w:rFonts w:asciiTheme="minorHAnsi" w:hAnsiTheme="minorHAnsi" w:cstheme="minorHAnsi"/>
        </w:rPr>
      </w:pPr>
    </w:p>
    <w:p w14:paraId="70112798" w14:textId="46862D9D" w:rsidR="008F4CF5" w:rsidRPr="002246D0" w:rsidRDefault="005941C5" w:rsidP="00396D72">
      <w:pPr>
        <w:spacing w:line="320" w:lineRule="exact"/>
        <w:ind w:right="426" w:firstLine="1440"/>
        <w:jc w:val="both"/>
        <w:rPr>
          <w:rFonts w:asciiTheme="minorHAnsi" w:hAnsiTheme="minorHAnsi" w:cstheme="minorHAnsi"/>
        </w:rPr>
      </w:pPr>
      <w:r w:rsidRPr="002246D0">
        <w:rPr>
          <w:rFonts w:asciiTheme="minorHAnsi" w:hAnsiTheme="minorHAnsi" w:cstheme="minorHAnsi"/>
          <w:b/>
          <w:bCs/>
        </w:rPr>
        <w:t>                  CAIXA ECONOMICA FEDERAL</w:t>
      </w:r>
      <w:r w:rsidRPr="002246D0">
        <w:rPr>
          <w:rFonts w:asciiTheme="minorHAnsi" w:hAnsiTheme="minorHAnsi" w:cstheme="minorHAnsi"/>
        </w:rPr>
        <w:t xml:space="preserve">, previamente qualificada nos autos do processo em epígrafe, neste ato, representada por seus advogados que </w:t>
      </w:r>
      <w:proofErr w:type="gramStart"/>
      <w:r w:rsidRPr="002246D0">
        <w:rPr>
          <w:rFonts w:asciiTheme="minorHAnsi" w:hAnsiTheme="minorHAnsi" w:cstheme="minorHAnsi"/>
        </w:rPr>
        <w:t>esta subscrevem</w:t>
      </w:r>
      <w:proofErr w:type="gramEnd"/>
      <w:r w:rsidRPr="002246D0">
        <w:rPr>
          <w:rFonts w:asciiTheme="minorHAnsi" w:hAnsiTheme="minorHAnsi" w:cstheme="minorHAnsi"/>
        </w:rPr>
        <w:t xml:space="preserve">, nos autos da </w:t>
      </w:r>
      <w:r w:rsidRPr="002246D0">
        <w:rPr>
          <w:rFonts w:asciiTheme="minorHAnsi" w:hAnsiTheme="minorHAnsi" w:cstheme="minorHAnsi"/>
          <w:b/>
          <w:bCs/>
          <w:i/>
          <w:iCs/>
        </w:rPr>
        <w:t xml:space="preserve">AÇÃO </w:t>
      </w:r>
      <w:r w:rsidR="004C7639" w:rsidRPr="002246D0">
        <w:rPr>
          <w:rFonts w:asciiTheme="minorHAnsi" w:hAnsiTheme="minorHAnsi" w:cstheme="minorHAnsi"/>
          <w:b/>
          <w:bCs/>
          <w:i/>
          <w:iCs/>
        </w:rPr>
        <w:t>DE INDENIZAÇÃO</w:t>
      </w:r>
      <w:r w:rsidRPr="002246D0">
        <w:rPr>
          <w:rFonts w:asciiTheme="minorHAnsi" w:hAnsiTheme="minorHAnsi" w:cstheme="minorHAnsi"/>
          <w:b/>
          <w:bCs/>
          <w:i/>
          <w:iCs/>
        </w:rPr>
        <w:t xml:space="preserve">, </w:t>
      </w:r>
      <w:r w:rsidRPr="002246D0">
        <w:rPr>
          <w:rFonts w:asciiTheme="minorHAnsi" w:hAnsiTheme="minorHAnsi" w:cstheme="minorHAnsi"/>
        </w:rPr>
        <w:t xml:space="preserve">que lhe promove </w:t>
      </w:r>
      <w:r w:rsidR="003C3A10" w:rsidRPr="003C3A10">
        <w:rPr>
          <w:rFonts w:asciiTheme="minorHAnsi" w:hAnsiTheme="minorHAnsi" w:cstheme="minorHAnsi"/>
          <w:b/>
          <w:bCs/>
        </w:rPr>
        <w:t>LEIA FERNANDA DA SILVA</w:t>
      </w:r>
      <w:r w:rsidR="00320DCE" w:rsidRPr="002246D0">
        <w:rPr>
          <w:rFonts w:asciiTheme="minorHAnsi" w:hAnsiTheme="minorHAnsi" w:cstheme="minorHAnsi"/>
          <w:b/>
          <w:bCs/>
        </w:rPr>
        <w:t xml:space="preserve">, </w:t>
      </w:r>
      <w:r w:rsidR="00E962C2" w:rsidRPr="002246D0">
        <w:rPr>
          <w:rFonts w:asciiTheme="minorHAnsi" w:hAnsiTheme="minorHAnsi" w:cstheme="minorHAnsi"/>
        </w:rPr>
        <w:t xml:space="preserve">vem, por seus advogados abaixo assinados, em atenção ao </w:t>
      </w:r>
      <w:r w:rsidR="009313CE" w:rsidRPr="002246D0">
        <w:rPr>
          <w:rFonts w:asciiTheme="minorHAnsi" w:hAnsiTheme="minorHAnsi" w:cstheme="minorHAnsi"/>
        </w:rPr>
        <w:t>recurso interposto pela parte autora</w:t>
      </w:r>
      <w:r w:rsidR="00E962C2" w:rsidRPr="002246D0">
        <w:rPr>
          <w:rFonts w:asciiTheme="minorHAnsi" w:hAnsiTheme="minorHAnsi" w:cstheme="minorHAnsi"/>
        </w:rPr>
        <w:t>,</w:t>
      </w:r>
      <w:r w:rsidR="00320DCE" w:rsidRPr="002246D0">
        <w:rPr>
          <w:rFonts w:asciiTheme="minorHAnsi" w:hAnsiTheme="minorHAnsi" w:cstheme="minorHAnsi"/>
        </w:rPr>
        <w:t xml:space="preserve"> pelas razões e fundamentos a seguir expostos,</w:t>
      </w:r>
      <w:r w:rsidR="004C7639" w:rsidRPr="002246D0">
        <w:rPr>
          <w:rFonts w:asciiTheme="minorHAnsi" w:hAnsiTheme="minorHAnsi" w:cstheme="minorHAnsi"/>
        </w:rPr>
        <w:t xml:space="preserve"> apresentar suas:</w:t>
      </w:r>
    </w:p>
    <w:p w14:paraId="7FFA8188" w14:textId="484840B5" w:rsidR="004C7639" w:rsidRPr="002246D0" w:rsidRDefault="004C7639" w:rsidP="00396D72">
      <w:pPr>
        <w:spacing w:line="320" w:lineRule="exact"/>
        <w:ind w:right="426" w:firstLine="1440"/>
        <w:jc w:val="both"/>
        <w:rPr>
          <w:rFonts w:asciiTheme="minorHAnsi" w:hAnsiTheme="minorHAnsi" w:cstheme="minorHAnsi"/>
        </w:rPr>
      </w:pPr>
    </w:p>
    <w:p w14:paraId="16E734CD" w14:textId="0BEB1A01" w:rsidR="004C7639" w:rsidRPr="002246D0" w:rsidRDefault="004C7639" w:rsidP="00396D72">
      <w:pPr>
        <w:spacing w:line="320" w:lineRule="exact"/>
        <w:ind w:right="426" w:firstLine="1440"/>
        <w:jc w:val="center"/>
        <w:rPr>
          <w:rFonts w:asciiTheme="minorHAnsi" w:hAnsiTheme="minorHAnsi" w:cstheme="minorHAnsi"/>
          <w:b/>
          <w:bCs/>
          <w:u w:val="single"/>
        </w:rPr>
      </w:pPr>
      <w:r w:rsidRPr="002246D0">
        <w:rPr>
          <w:rFonts w:asciiTheme="minorHAnsi" w:hAnsiTheme="minorHAnsi" w:cstheme="minorHAnsi"/>
          <w:b/>
          <w:bCs/>
          <w:u w:val="single"/>
        </w:rPr>
        <w:t xml:space="preserve">CONTRARRAZÕES AO RECURSO </w:t>
      </w:r>
      <w:r w:rsidR="003C3A10">
        <w:rPr>
          <w:rFonts w:asciiTheme="minorHAnsi" w:hAnsiTheme="minorHAnsi" w:cstheme="minorHAnsi"/>
          <w:b/>
          <w:bCs/>
          <w:u w:val="single"/>
        </w:rPr>
        <w:t>DE APELAÇÃO</w:t>
      </w:r>
    </w:p>
    <w:p w14:paraId="11F6A7B2" w14:textId="77777777" w:rsidR="00673F32" w:rsidRPr="002246D0" w:rsidRDefault="00673F32" w:rsidP="00396D72">
      <w:pPr>
        <w:spacing w:before="200" w:after="200" w:line="240" w:lineRule="auto"/>
        <w:ind w:right="426" w:firstLine="708"/>
        <w:jc w:val="both"/>
        <w:rPr>
          <w:rFonts w:asciiTheme="minorHAnsi" w:hAnsiTheme="minorHAnsi" w:cstheme="minorHAnsi"/>
        </w:rPr>
      </w:pPr>
    </w:p>
    <w:p w14:paraId="594E35BC" w14:textId="56BA1F18" w:rsidR="009313CE" w:rsidRPr="002246D0" w:rsidRDefault="009313CE" w:rsidP="009313CE">
      <w:pPr>
        <w:spacing w:before="200" w:after="200" w:line="240" w:lineRule="auto"/>
        <w:ind w:right="426" w:firstLine="708"/>
        <w:jc w:val="both"/>
        <w:rPr>
          <w:rFonts w:asciiTheme="minorHAnsi" w:hAnsiTheme="minorHAnsi" w:cstheme="minorHAnsi"/>
        </w:rPr>
      </w:pPr>
      <w:r w:rsidRPr="002246D0">
        <w:rPr>
          <w:rFonts w:asciiTheme="minorHAnsi" w:hAnsiTheme="minorHAnsi" w:cstheme="minorHAnsi"/>
        </w:rPr>
        <w:t xml:space="preserve">Pelo que requer seja negado provimento ao recurso interposto, haja vista </w:t>
      </w:r>
      <w:r w:rsidR="001F73C4" w:rsidRPr="002246D0">
        <w:rPr>
          <w:rFonts w:asciiTheme="minorHAnsi" w:hAnsiTheme="minorHAnsi" w:cstheme="minorHAnsi"/>
        </w:rPr>
        <w:t>os motivos abaixo apresentados</w:t>
      </w:r>
      <w:r w:rsidRPr="002246D0">
        <w:rPr>
          <w:rFonts w:asciiTheme="minorHAnsi" w:hAnsiTheme="minorHAnsi" w:cstheme="minorHAnsi"/>
        </w:rPr>
        <w:t>.</w:t>
      </w:r>
    </w:p>
    <w:p w14:paraId="26FF2D3A" w14:textId="60614855" w:rsidR="004C7639" w:rsidRPr="002246D0" w:rsidRDefault="004C7639" w:rsidP="00396D72">
      <w:pPr>
        <w:spacing w:before="200" w:after="200" w:line="240" w:lineRule="auto"/>
        <w:ind w:right="426" w:firstLine="708"/>
        <w:jc w:val="both"/>
        <w:rPr>
          <w:rFonts w:asciiTheme="minorHAnsi" w:hAnsiTheme="minorHAnsi" w:cstheme="minorHAnsi"/>
        </w:rPr>
      </w:pPr>
    </w:p>
    <w:p w14:paraId="0F20BDBF" w14:textId="77777777" w:rsidR="004C7639" w:rsidRPr="002246D0" w:rsidRDefault="004C7639" w:rsidP="00396D72">
      <w:pPr>
        <w:spacing w:before="200" w:after="200" w:line="240" w:lineRule="auto"/>
        <w:ind w:right="426" w:firstLine="708"/>
        <w:jc w:val="both"/>
        <w:rPr>
          <w:rFonts w:asciiTheme="minorHAnsi" w:hAnsiTheme="minorHAnsi" w:cstheme="minorHAnsi"/>
        </w:rPr>
      </w:pPr>
    </w:p>
    <w:p w14:paraId="2967B07C" w14:textId="2D4F23BB" w:rsidR="005941C5" w:rsidRPr="002246D0" w:rsidRDefault="005941C5" w:rsidP="00396D72">
      <w:pPr>
        <w:spacing w:before="200" w:after="200" w:line="240" w:lineRule="auto"/>
        <w:ind w:right="426"/>
        <w:jc w:val="center"/>
        <w:rPr>
          <w:rFonts w:asciiTheme="minorHAnsi" w:hAnsiTheme="minorHAnsi" w:cstheme="minorHAnsi"/>
        </w:rPr>
      </w:pPr>
      <w:r w:rsidRPr="002246D0">
        <w:rPr>
          <w:rFonts w:asciiTheme="minorHAnsi" w:hAnsiTheme="minorHAnsi" w:cstheme="minorHAnsi"/>
        </w:rPr>
        <w:t>Nestes Termos,</w:t>
      </w:r>
      <w:r w:rsidRPr="002246D0">
        <w:rPr>
          <w:rFonts w:asciiTheme="minorHAnsi" w:hAnsiTheme="minorHAnsi" w:cstheme="minorHAnsi"/>
        </w:rPr>
        <w:br/>
        <w:t> Pede Deferimento,</w:t>
      </w:r>
    </w:p>
    <w:p w14:paraId="4BA3427B" w14:textId="00B3AB36" w:rsidR="008B00C4" w:rsidRPr="002246D0" w:rsidRDefault="005941C5" w:rsidP="00396D72">
      <w:pPr>
        <w:spacing w:before="200" w:after="200" w:line="240" w:lineRule="auto"/>
        <w:ind w:right="426"/>
        <w:jc w:val="center"/>
        <w:rPr>
          <w:rFonts w:asciiTheme="minorHAnsi" w:hAnsiTheme="minorHAnsi" w:cstheme="minorHAnsi"/>
        </w:rPr>
      </w:pPr>
      <w:r w:rsidRPr="002246D0">
        <w:rPr>
          <w:rFonts w:asciiTheme="minorHAnsi" w:hAnsiTheme="minorHAnsi" w:cstheme="minorHAnsi"/>
        </w:rPr>
        <w:br/>
      </w:r>
      <w:r w:rsidR="003C3A10">
        <w:rPr>
          <w:rFonts w:asciiTheme="minorHAnsi" w:hAnsiTheme="minorHAnsi" w:cstheme="minorHAnsi"/>
        </w:rPr>
        <w:t>Bento Gonçalves</w:t>
      </w:r>
      <w:r w:rsidRPr="002246D0">
        <w:rPr>
          <w:rFonts w:asciiTheme="minorHAnsi" w:hAnsiTheme="minorHAnsi" w:cstheme="minorHAnsi"/>
        </w:rPr>
        <w:t xml:space="preserve">, </w:t>
      </w:r>
      <w:r w:rsidR="00551589" w:rsidRPr="002246D0">
        <w:rPr>
          <w:rFonts w:asciiTheme="minorHAnsi" w:hAnsiTheme="minorHAnsi" w:cstheme="minorHAnsi"/>
        </w:rPr>
        <w:t>0</w:t>
      </w:r>
      <w:r w:rsidR="003C3A10">
        <w:rPr>
          <w:rFonts w:asciiTheme="minorHAnsi" w:hAnsiTheme="minorHAnsi" w:cstheme="minorHAnsi"/>
        </w:rPr>
        <w:t>4</w:t>
      </w:r>
      <w:r w:rsidR="004C7639" w:rsidRPr="002246D0">
        <w:rPr>
          <w:rFonts w:asciiTheme="minorHAnsi" w:hAnsiTheme="minorHAnsi" w:cstheme="minorHAnsi"/>
        </w:rPr>
        <w:t xml:space="preserve"> </w:t>
      </w:r>
      <w:r w:rsidRPr="002246D0">
        <w:rPr>
          <w:rFonts w:asciiTheme="minorHAnsi" w:hAnsiTheme="minorHAnsi" w:cstheme="minorHAnsi"/>
        </w:rPr>
        <w:t xml:space="preserve">de </w:t>
      </w:r>
      <w:r w:rsidR="003C3A10">
        <w:rPr>
          <w:rFonts w:asciiTheme="minorHAnsi" w:hAnsiTheme="minorHAnsi" w:cstheme="minorHAnsi"/>
        </w:rPr>
        <w:t>Agosto</w:t>
      </w:r>
      <w:r w:rsidRPr="002246D0">
        <w:rPr>
          <w:rFonts w:asciiTheme="minorHAnsi" w:hAnsiTheme="minorHAnsi" w:cstheme="minorHAnsi"/>
        </w:rPr>
        <w:t xml:space="preserve"> de 2023.</w:t>
      </w:r>
    </w:p>
    <w:p w14:paraId="3D8239AA" w14:textId="3A9E4912" w:rsidR="004C7639" w:rsidRPr="002246D0" w:rsidRDefault="005941C5" w:rsidP="00551589">
      <w:pPr>
        <w:spacing w:before="200" w:after="200" w:line="240" w:lineRule="auto"/>
        <w:ind w:right="426"/>
        <w:jc w:val="center"/>
        <w:rPr>
          <w:rFonts w:asciiTheme="minorHAnsi" w:hAnsiTheme="minorHAnsi" w:cstheme="minorHAnsi"/>
        </w:rPr>
      </w:pPr>
      <w:r w:rsidRPr="002246D0">
        <w:rPr>
          <w:rFonts w:asciiTheme="minorHAnsi" w:hAnsiTheme="minorHAnsi" w:cstheme="minorHAnsi"/>
        </w:rPr>
        <w:br/>
      </w:r>
      <w:r w:rsidR="00551589" w:rsidRPr="002246D0">
        <w:rPr>
          <w:rFonts w:asciiTheme="minorHAnsi" w:hAnsiTheme="minorHAnsi" w:cstheme="minorHAnsi"/>
          <w:b/>
          <w:bCs/>
        </w:rPr>
        <w:t>JOÃO BARBOSA</w:t>
      </w:r>
      <w:r w:rsidR="00551589" w:rsidRPr="002246D0">
        <w:rPr>
          <w:rFonts w:asciiTheme="minorHAnsi" w:hAnsiTheme="minorHAnsi" w:cstheme="minorHAnsi"/>
          <w:b/>
          <w:bCs/>
        </w:rPr>
        <w:br/>
        <w:t>OAB/RS 90657-A</w:t>
      </w:r>
    </w:p>
    <w:p w14:paraId="1EAA27C6" w14:textId="00C49A72" w:rsidR="004C7639" w:rsidRPr="002246D0" w:rsidRDefault="004C7639" w:rsidP="00396D72">
      <w:pPr>
        <w:spacing w:before="200" w:after="200" w:line="240" w:lineRule="auto"/>
        <w:ind w:right="426"/>
        <w:jc w:val="center"/>
        <w:rPr>
          <w:rFonts w:asciiTheme="minorHAnsi" w:hAnsiTheme="minorHAnsi" w:cstheme="minorHAnsi"/>
        </w:rPr>
      </w:pPr>
    </w:p>
    <w:p w14:paraId="1165ADC8" w14:textId="04C88523" w:rsidR="004C7639" w:rsidRPr="002246D0" w:rsidRDefault="004C7639" w:rsidP="00396D72">
      <w:pPr>
        <w:spacing w:before="200" w:after="200" w:line="240" w:lineRule="auto"/>
        <w:ind w:right="426"/>
        <w:jc w:val="center"/>
        <w:rPr>
          <w:rFonts w:asciiTheme="minorHAnsi" w:hAnsiTheme="minorHAnsi" w:cstheme="minorHAnsi"/>
        </w:rPr>
      </w:pPr>
    </w:p>
    <w:p w14:paraId="1BA84687" w14:textId="21A66AB8" w:rsidR="004C7639" w:rsidRPr="002246D0" w:rsidRDefault="004C7639" w:rsidP="00396D72">
      <w:pPr>
        <w:spacing w:before="200" w:after="200" w:line="240" w:lineRule="auto"/>
        <w:ind w:right="426"/>
        <w:jc w:val="center"/>
        <w:rPr>
          <w:rFonts w:asciiTheme="minorHAnsi" w:hAnsiTheme="minorHAnsi" w:cstheme="minorHAnsi"/>
        </w:rPr>
      </w:pPr>
    </w:p>
    <w:p w14:paraId="1117284C" w14:textId="0EFCA8AB" w:rsidR="004C7639" w:rsidRPr="002246D0" w:rsidRDefault="004C7639" w:rsidP="00396D72">
      <w:pPr>
        <w:spacing w:before="200" w:after="200" w:line="240" w:lineRule="auto"/>
        <w:ind w:right="426"/>
        <w:jc w:val="center"/>
        <w:rPr>
          <w:rFonts w:asciiTheme="minorHAnsi" w:hAnsiTheme="minorHAnsi" w:cstheme="minorHAnsi"/>
        </w:rPr>
      </w:pPr>
    </w:p>
    <w:p w14:paraId="0DDF6378" w14:textId="4DF7A0AD" w:rsidR="004C7639" w:rsidRPr="002246D0" w:rsidRDefault="004C7639" w:rsidP="00396D72">
      <w:pPr>
        <w:spacing w:before="200" w:after="200" w:line="240" w:lineRule="auto"/>
        <w:ind w:right="426"/>
        <w:jc w:val="center"/>
        <w:rPr>
          <w:rFonts w:asciiTheme="minorHAnsi" w:hAnsiTheme="minorHAnsi" w:cstheme="minorHAnsi"/>
        </w:rPr>
      </w:pPr>
    </w:p>
    <w:p w14:paraId="2FDBDB86" w14:textId="208172E2" w:rsidR="004C7639" w:rsidRPr="002246D0" w:rsidRDefault="004C7639" w:rsidP="00396D72">
      <w:pPr>
        <w:spacing w:before="200" w:after="200" w:line="240" w:lineRule="auto"/>
        <w:ind w:right="426"/>
        <w:jc w:val="center"/>
        <w:rPr>
          <w:rFonts w:asciiTheme="minorHAnsi" w:hAnsiTheme="minorHAnsi" w:cstheme="minorHAnsi"/>
        </w:rPr>
      </w:pPr>
    </w:p>
    <w:p w14:paraId="2120FB5B" w14:textId="09578ED4" w:rsidR="004C7639" w:rsidRPr="002246D0" w:rsidRDefault="004C7639" w:rsidP="00396D72">
      <w:pPr>
        <w:spacing w:before="200" w:after="200" w:line="240" w:lineRule="auto"/>
        <w:ind w:right="426"/>
        <w:jc w:val="center"/>
        <w:rPr>
          <w:rFonts w:asciiTheme="minorHAnsi" w:hAnsiTheme="minorHAnsi" w:cstheme="minorHAnsi"/>
        </w:rPr>
      </w:pPr>
    </w:p>
    <w:p w14:paraId="7F0F1A67" w14:textId="0174D4E3" w:rsidR="004C7639" w:rsidRPr="002246D0" w:rsidRDefault="004C7639" w:rsidP="00396D72">
      <w:pPr>
        <w:spacing w:before="200" w:after="200" w:line="240" w:lineRule="auto"/>
        <w:ind w:right="426"/>
        <w:jc w:val="center"/>
        <w:rPr>
          <w:rFonts w:asciiTheme="minorHAnsi" w:hAnsiTheme="minorHAnsi" w:cstheme="minorHAnsi"/>
        </w:rPr>
      </w:pPr>
    </w:p>
    <w:p w14:paraId="11A381AC" w14:textId="0D32021F" w:rsidR="004C7639" w:rsidRPr="002246D0" w:rsidRDefault="004C7639" w:rsidP="003C3A10">
      <w:pPr>
        <w:pStyle w:val="Ttulo2"/>
        <w:ind w:right="426"/>
        <w:jc w:val="left"/>
        <w:rPr>
          <w:rFonts w:asciiTheme="minorHAnsi" w:hAnsiTheme="minorHAnsi" w:cstheme="minorHAnsi"/>
          <w:sz w:val="22"/>
          <w:szCs w:val="22"/>
        </w:rPr>
      </w:pPr>
      <w:r w:rsidRPr="002246D0">
        <w:rPr>
          <w:rFonts w:asciiTheme="minorHAnsi" w:hAnsiTheme="minorHAnsi" w:cstheme="minorHAnsi"/>
          <w:sz w:val="22"/>
          <w:szCs w:val="22"/>
        </w:rPr>
        <w:t xml:space="preserve">EGRÉGIA </w:t>
      </w:r>
      <w:r w:rsidR="003C3A10">
        <w:rPr>
          <w:rFonts w:asciiTheme="minorHAnsi" w:hAnsiTheme="minorHAnsi" w:cstheme="minorHAnsi"/>
          <w:sz w:val="22"/>
          <w:szCs w:val="22"/>
        </w:rPr>
        <w:t>CÂMARA</w:t>
      </w:r>
      <w:r w:rsidRPr="002246D0">
        <w:rPr>
          <w:rFonts w:asciiTheme="minorHAnsi" w:hAnsiTheme="minorHAnsi" w:cstheme="minorHAnsi"/>
          <w:sz w:val="22"/>
          <w:szCs w:val="22"/>
        </w:rPr>
        <w:t xml:space="preserve"> </w:t>
      </w:r>
      <w:r w:rsidR="0004661C" w:rsidRPr="002246D0">
        <w:rPr>
          <w:rFonts w:asciiTheme="minorHAnsi" w:hAnsiTheme="minorHAnsi" w:cstheme="minorHAnsi"/>
          <w:sz w:val="22"/>
          <w:szCs w:val="22"/>
        </w:rPr>
        <w:t>RECURSAL DA SEÇÃO JUDICIÁRIA DO RIO GRANDE DO SUL</w:t>
      </w:r>
      <w:r w:rsidRPr="002246D0">
        <w:rPr>
          <w:rFonts w:asciiTheme="minorHAnsi" w:hAnsiTheme="minorHAnsi" w:cstheme="minorHAnsi"/>
          <w:sz w:val="22"/>
          <w:szCs w:val="22"/>
        </w:rPr>
        <w:t>,</w:t>
      </w:r>
    </w:p>
    <w:p w14:paraId="6B17A095" w14:textId="0233C675" w:rsidR="004C7639" w:rsidRPr="002246D0" w:rsidRDefault="004C7639" w:rsidP="00396D72">
      <w:pPr>
        <w:pStyle w:val="Corpodetexto"/>
        <w:ind w:right="426" w:firstLine="1417"/>
        <w:rPr>
          <w:rFonts w:asciiTheme="minorHAnsi" w:hAnsiTheme="minorHAnsi" w:cstheme="minorHAnsi"/>
          <w:sz w:val="22"/>
          <w:szCs w:val="22"/>
        </w:rPr>
      </w:pPr>
    </w:p>
    <w:p w14:paraId="32BCA84A" w14:textId="642C18BA" w:rsidR="0004661C" w:rsidRPr="002246D0" w:rsidRDefault="0004661C" w:rsidP="00396D72">
      <w:pPr>
        <w:pStyle w:val="PargrafodaLista"/>
        <w:tabs>
          <w:tab w:val="left" w:pos="709"/>
        </w:tabs>
        <w:spacing w:line="320" w:lineRule="exact"/>
        <w:ind w:left="0" w:right="426"/>
        <w:jc w:val="center"/>
        <w:rPr>
          <w:rFonts w:cstheme="minorHAnsi"/>
          <w:b/>
          <w:bCs/>
          <w:smallCaps/>
          <w:sz w:val="22"/>
          <w:szCs w:val="22"/>
        </w:rPr>
      </w:pPr>
      <w:proofErr w:type="spellStart"/>
      <w:r w:rsidRPr="002246D0">
        <w:rPr>
          <w:rFonts w:cstheme="minorHAnsi"/>
          <w:b/>
          <w:bCs/>
          <w:smallCaps/>
          <w:sz w:val="22"/>
          <w:szCs w:val="22"/>
        </w:rPr>
        <w:t>Contrarrazões</w:t>
      </w:r>
      <w:proofErr w:type="spellEnd"/>
      <w:r w:rsidRPr="002246D0">
        <w:rPr>
          <w:rFonts w:cstheme="minorHAnsi"/>
          <w:b/>
          <w:bCs/>
          <w:smallCaps/>
          <w:sz w:val="22"/>
          <w:szCs w:val="22"/>
        </w:rPr>
        <w:t xml:space="preserve"> da </w:t>
      </w:r>
      <w:proofErr w:type="spellStart"/>
      <w:r w:rsidRPr="002246D0">
        <w:rPr>
          <w:rFonts w:cstheme="minorHAnsi"/>
          <w:b/>
          <w:bCs/>
          <w:smallCaps/>
          <w:sz w:val="22"/>
          <w:szCs w:val="22"/>
        </w:rPr>
        <w:t>Recorrida</w:t>
      </w:r>
      <w:proofErr w:type="spellEnd"/>
    </w:p>
    <w:p w14:paraId="0A90EACA" w14:textId="427AC0D0" w:rsidR="0004661C" w:rsidRPr="002246D0" w:rsidRDefault="0004661C" w:rsidP="00396D72">
      <w:pPr>
        <w:pStyle w:val="PargrafodaLista"/>
        <w:tabs>
          <w:tab w:val="left" w:pos="709"/>
        </w:tabs>
        <w:spacing w:line="320" w:lineRule="exact"/>
        <w:ind w:left="0" w:right="426"/>
        <w:jc w:val="center"/>
        <w:rPr>
          <w:rFonts w:cstheme="minorHAnsi"/>
          <w:b/>
          <w:bCs/>
          <w:smallCaps/>
          <w:sz w:val="22"/>
          <w:szCs w:val="22"/>
        </w:rPr>
      </w:pPr>
      <w:r w:rsidRPr="002246D0">
        <w:rPr>
          <w:rFonts w:cstheme="minorHAnsi"/>
          <w:b/>
          <w:bCs/>
          <w:smallCaps/>
          <w:sz w:val="22"/>
          <w:szCs w:val="22"/>
          <w:u w:val="single"/>
        </w:rPr>
        <w:t xml:space="preserve">Caixa </w:t>
      </w:r>
      <w:proofErr w:type="spellStart"/>
      <w:r w:rsidRPr="002246D0">
        <w:rPr>
          <w:rFonts w:cstheme="minorHAnsi"/>
          <w:b/>
          <w:bCs/>
          <w:smallCaps/>
          <w:sz w:val="22"/>
          <w:szCs w:val="22"/>
          <w:u w:val="single"/>
        </w:rPr>
        <w:t>Econômica</w:t>
      </w:r>
      <w:proofErr w:type="spellEnd"/>
      <w:r w:rsidRPr="002246D0">
        <w:rPr>
          <w:rFonts w:cstheme="minorHAnsi"/>
          <w:b/>
          <w:bCs/>
          <w:smallCaps/>
          <w:sz w:val="22"/>
          <w:szCs w:val="22"/>
          <w:u w:val="single"/>
        </w:rPr>
        <w:t xml:space="preserve"> Federal</w:t>
      </w:r>
    </w:p>
    <w:p w14:paraId="04785251" w14:textId="77777777" w:rsidR="004C7639" w:rsidRPr="002246D0" w:rsidRDefault="004C7639" w:rsidP="00396D72">
      <w:pPr>
        <w:pStyle w:val="Ttulo2"/>
        <w:ind w:right="426"/>
        <w:jc w:val="left"/>
        <w:rPr>
          <w:rFonts w:asciiTheme="minorHAnsi" w:hAnsiTheme="minorHAnsi" w:cstheme="minorHAnsi"/>
          <w:sz w:val="22"/>
          <w:szCs w:val="22"/>
        </w:rPr>
      </w:pPr>
      <w:r w:rsidRPr="002246D0">
        <w:rPr>
          <w:rFonts w:asciiTheme="minorHAnsi" w:hAnsiTheme="minorHAnsi" w:cstheme="minorHAnsi"/>
          <w:sz w:val="22"/>
          <w:szCs w:val="22"/>
        </w:rPr>
        <w:t>DA SÍNTESE DA DEMANDA</w:t>
      </w:r>
    </w:p>
    <w:p w14:paraId="4E9758AD" w14:textId="1E04393E" w:rsidR="003C3A10" w:rsidRPr="003C3A10" w:rsidRDefault="003C3A10" w:rsidP="003C3A10">
      <w:pPr>
        <w:spacing w:line="360" w:lineRule="auto"/>
        <w:ind w:firstLine="708"/>
        <w:jc w:val="both"/>
        <w:rPr>
          <w:rFonts w:asciiTheme="minorHAnsi" w:hAnsiTheme="minorHAnsi" w:cstheme="minorHAnsi"/>
          <w:b/>
          <w:bCs/>
        </w:rPr>
      </w:pPr>
      <w:r w:rsidRPr="003C3A10">
        <w:rPr>
          <w:rFonts w:asciiTheme="minorHAnsi" w:hAnsiTheme="minorHAnsi" w:cstheme="minorHAnsi"/>
          <w:bCs/>
        </w:rPr>
        <w:t xml:space="preserve">Trata-se de Ação que requer condenação da </w:t>
      </w:r>
      <w:r w:rsidRPr="003C3A10">
        <w:rPr>
          <w:rFonts w:asciiTheme="minorHAnsi" w:hAnsiTheme="minorHAnsi" w:cstheme="minorHAnsi"/>
        </w:rPr>
        <w:t xml:space="preserve">CAIXA em face do atraso de obra, visando </w:t>
      </w:r>
      <w:proofErr w:type="gramStart"/>
      <w:r w:rsidRPr="003C3A10">
        <w:rPr>
          <w:rFonts w:asciiTheme="minorHAnsi" w:hAnsiTheme="minorHAnsi" w:cstheme="minorHAnsi"/>
        </w:rPr>
        <w:t>a  retomada</w:t>
      </w:r>
      <w:proofErr w:type="gramEnd"/>
      <w:r w:rsidRPr="003C3A10">
        <w:rPr>
          <w:rFonts w:asciiTheme="minorHAnsi" w:hAnsiTheme="minorHAnsi" w:cstheme="minorHAnsi"/>
        </w:rPr>
        <w:t xml:space="preserve"> as obras de construção de  unidades habitacionais do residencial, </w:t>
      </w:r>
      <w:r w:rsidRPr="003C3A10">
        <w:rPr>
          <w:rFonts w:asciiTheme="minorHAnsi" w:hAnsiTheme="minorHAnsi" w:cstheme="minorHAnsi"/>
          <w:b/>
          <w:bCs/>
        </w:rPr>
        <w:t xml:space="preserve">empreendimento financiado com recursos do Fundo de Desenvolvimento Social − FDS, no âmbito do programa Minha Casa, Minha Vida – Entidades. </w:t>
      </w:r>
    </w:p>
    <w:p w14:paraId="5D0B3ECA" w14:textId="50667C90" w:rsidR="003C3A10" w:rsidRPr="003C3A10" w:rsidRDefault="003C3A10" w:rsidP="003C3A10">
      <w:pPr>
        <w:spacing w:line="360" w:lineRule="auto"/>
        <w:ind w:firstLine="708"/>
        <w:jc w:val="both"/>
        <w:rPr>
          <w:rFonts w:asciiTheme="minorHAnsi" w:hAnsiTheme="minorHAnsi" w:cstheme="minorHAnsi"/>
          <w:bCs/>
        </w:rPr>
      </w:pPr>
      <w:r w:rsidRPr="003C3A10">
        <w:rPr>
          <w:rFonts w:asciiTheme="minorHAnsi" w:hAnsiTheme="minorHAnsi" w:cstheme="minorHAnsi"/>
          <w:bCs/>
        </w:rPr>
        <w:t xml:space="preserve">Ressalte-se o </w:t>
      </w:r>
      <w:r w:rsidRPr="003C3A10">
        <w:rPr>
          <w:rFonts w:asciiTheme="minorHAnsi" w:hAnsiTheme="minorHAnsi" w:cstheme="minorHAnsi"/>
        </w:rPr>
        <w:t>Termo de Cooperação e Parceria firmado com a Entidade Organizadora, em especial pelo descumprimento dos deveres previstos nas alíneas “q” e “z” da cláusula sétima do referido Termo:</w:t>
      </w:r>
    </w:p>
    <w:p w14:paraId="1374A453" w14:textId="77777777" w:rsidR="003C3A10" w:rsidRPr="003C3A10" w:rsidRDefault="003C3A10" w:rsidP="003C3A10">
      <w:pPr>
        <w:spacing w:line="360" w:lineRule="auto"/>
        <w:ind w:left="2268"/>
        <w:jc w:val="both"/>
        <w:rPr>
          <w:rFonts w:asciiTheme="minorHAnsi" w:hAnsiTheme="minorHAnsi" w:cstheme="minorHAnsi"/>
          <w:i/>
          <w:iCs/>
        </w:rPr>
      </w:pPr>
      <w:r w:rsidRPr="003C3A10">
        <w:rPr>
          <w:rFonts w:asciiTheme="minorHAnsi" w:hAnsiTheme="minorHAnsi" w:cstheme="minorHAnsi"/>
          <w:i/>
          <w:iCs/>
        </w:rPr>
        <w:t>“q – Coordenar a participação de todos os envolvidos na execução do empreendimento, de forma a assegurar sincronismo e harmonia na implementação do projeto e na disponibilização dos recursos necessários à sua execução;</w:t>
      </w:r>
    </w:p>
    <w:p w14:paraId="7CD0CEED" w14:textId="77777777" w:rsidR="003C3A10" w:rsidRPr="003C3A10" w:rsidRDefault="003C3A10" w:rsidP="003C3A10">
      <w:pPr>
        <w:spacing w:line="360" w:lineRule="auto"/>
        <w:ind w:left="2268"/>
        <w:jc w:val="both"/>
        <w:rPr>
          <w:rFonts w:asciiTheme="minorHAnsi" w:hAnsiTheme="minorHAnsi" w:cstheme="minorHAnsi"/>
          <w:i/>
          <w:iCs/>
        </w:rPr>
      </w:pPr>
      <w:r w:rsidRPr="003C3A10">
        <w:rPr>
          <w:rFonts w:asciiTheme="minorHAnsi" w:hAnsiTheme="minorHAnsi" w:cstheme="minorHAnsi"/>
          <w:i/>
          <w:iCs/>
        </w:rPr>
        <w:t>...</w:t>
      </w:r>
    </w:p>
    <w:p w14:paraId="719F64F0" w14:textId="77777777" w:rsidR="003C3A10" w:rsidRPr="003C3A10" w:rsidRDefault="003C3A10" w:rsidP="003C3A10">
      <w:pPr>
        <w:spacing w:line="360" w:lineRule="auto"/>
        <w:ind w:left="2268"/>
        <w:jc w:val="both"/>
        <w:rPr>
          <w:rFonts w:asciiTheme="minorHAnsi" w:hAnsiTheme="minorHAnsi" w:cstheme="minorHAnsi"/>
          <w:i/>
          <w:iCs/>
        </w:rPr>
      </w:pPr>
      <w:r w:rsidRPr="003C3A10">
        <w:rPr>
          <w:rFonts w:asciiTheme="minorHAnsi" w:hAnsiTheme="minorHAnsi" w:cstheme="minorHAnsi"/>
          <w:i/>
          <w:iCs/>
        </w:rPr>
        <w:t>z – Apresentar à Caixa, mensalmente, relatório de fiscalização da obra e demonstrativo da evolução física do empreendimento, conforme projetos técnicos, especificações e cronograma físico-financeiro global aprovado;”</w:t>
      </w:r>
    </w:p>
    <w:p w14:paraId="0AF03B5C" w14:textId="77777777" w:rsidR="003C3A10" w:rsidRPr="003C3A10" w:rsidRDefault="003C3A10" w:rsidP="003C3A10">
      <w:pPr>
        <w:spacing w:line="360" w:lineRule="auto"/>
        <w:ind w:firstLine="2880"/>
        <w:jc w:val="both"/>
        <w:rPr>
          <w:rFonts w:asciiTheme="minorHAnsi" w:hAnsiTheme="minorHAnsi" w:cstheme="minorHAnsi"/>
        </w:rPr>
      </w:pPr>
    </w:p>
    <w:p w14:paraId="3D21E8C0" w14:textId="77777777" w:rsidR="003C3A10" w:rsidRPr="003C3A10" w:rsidRDefault="003C3A10" w:rsidP="003C3A10">
      <w:pPr>
        <w:spacing w:line="360" w:lineRule="auto"/>
        <w:ind w:firstLine="708"/>
        <w:jc w:val="both"/>
        <w:rPr>
          <w:rFonts w:asciiTheme="minorHAnsi" w:hAnsiTheme="minorHAnsi" w:cstheme="minorHAnsi"/>
        </w:rPr>
      </w:pPr>
      <w:r w:rsidRPr="003C3A10">
        <w:rPr>
          <w:rFonts w:asciiTheme="minorHAnsi" w:hAnsiTheme="minorHAnsi" w:cstheme="minorHAnsi"/>
          <w:b/>
          <w:bCs/>
        </w:rPr>
        <w:t xml:space="preserve">Ação pretende imputar responsabilidade à CAIXA por supostamente não adotar medidas para a retomada do empreendimento, mantendo-se omissa no seu dever legal de promover política pública de habitação, prejudicando, com isso, família de baixa renda e pretende compelir a CAIXA à conclusão do empreendimento nem a pagar: </w:t>
      </w:r>
      <w:bookmarkStart w:id="0" w:name="_Hlk139907330"/>
      <w:r w:rsidRPr="003C3A10">
        <w:rPr>
          <w:rFonts w:asciiTheme="minorHAnsi" w:hAnsiTheme="minorHAnsi" w:cstheme="minorHAnsi"/>
          <w:bCs/>
        </w:rPr>
        <w:t>lucros cessantes por atraso de obra, além de danos material e moral.</w:t>
      </w:r>
    </w:p>
    <w:bookmarkEnd w:id="0"/>
    <w:p w14:paraId="64C38AD9" w14:textId="58EAEDA8" w:rsidR="00755273" w:rsidRPr="002246D0" w:rsidRDefault="00755273" w:rsidP="00755273">
      <w:pPr>
        <w:spacing w:line="360" w:lineRule="auto"/>
        <w:ind w:firstLine="2880"/>
        <w:jc w:val="both"/>
        <w:rPr>
          <w:rFonts w:asciiTheme="minorHAnsi" w:hAnsiTheme="minorHAnsi" w:cstheme="minorHAnsi"/>
        </w:rPr>
      </w:pPr>
    </w:p>
    <w:p w14:paraId="2A3E5EF2" w14:textId="1B368379" w:rsidR="00755273" w:rsidRPr="002246D0" w:rsidRDefault="00755273" w:rsidP="003C3A10">
      <w:pPr>
        <w:spacing w:line="360" w:lineRule="auto"/>
        <w:ind w:firstLine="708"/>
        <w:jc w:val="both"/>
        <w:rPr>
          <w:rFonts w:asciiTheme="minorHAnsi" w:hAnsiTheme="minorHAnsi" w:cstheme="minorHAnsi"/>
        </w:rPr>
      </w:pPr>
      <w:r w:rsidRPr="002246D0">
        <w:rPr>
          <w:rFonts w:asciiTheme="minorHAnsi" w:hAnsiTheme="minorHAnsi" w:cstheme="minorHAnsi"/>
        </w:rPr>
        <w:t>Assim sendo, em defesa a CAIXA ECONÔMICA FEDERAL elucidou exaustivamente sua posição no contrato como MERO AGENTE FINANCEIRO.</w:t>
      </w:r>
    </w:p>
    <w:p w14:paraId="396BE0DF" w14:textId="77777777" w:rsidR="0004661C" w:rsidRDefault="0004661C" w:rsidP="00396D72">
      <w:pPr>
        <w:pStyle w:val="PargrafodaLista"/>
        <w:tabs>
          <w:tab w:val="left" w:pos="709"/>
        </w:tabs>
        <w:spacing w:line="320" w:lineRule="exact"/>
        <w:ind w:left="0" w:right="426"/>
        <w:jc w:val="both"/>
        <w:rPr>
          <w:rFonts w:cstheme="minorHAnsi"/>
          <w:sz w:val="22"/>
          <w:szCs w:val="22"/>
        </w:rPr>
      </w:pPr>
    </w:p>
    <w:p w14:paraId="6192B456" w14:textId="77777777" w:rsidR="003C3A10" w:rsidRDefault="003C3A10" w:rsidP="00396D72">
      <w:pPr>
        <w:pStyle w:val="PargrafodaLista"/>
        <w:tabs>
          <w:tab w:val="left" w:pos="709"/>
        </w:tabs>
        <w:spacing w:line="320" w:lineRule="exact"/>
        <w:ind w:left="0" w:right="426"/>
        <w:jc w:val="both"/>
        <w:rPr>
          <w:rFonts w:cstheme="minorHAnsi"/>
          <w:sz w:val="22"/>
          <w:szCs w:val="22"/>
        </w:rPr>
      </w:pPr>
    </w:p>
    <w:p w14:paraId="00E64220" w14:textId="77777777" w:rsidR="003C3A10" w:rsidRDefault="003C3A10" w:rsidP="00396D72">
      <w:pPr>
        <w:pStyle w:val="PargrafodaLista"/>
        <w:tabs>
          <w:tab w:val="left" w:pos="709"/>
        </w:tabs>
        <w:spacing w:line="320" w:lineRule="exact"/>
        <w:ind w:left="0" w:right="426"/>
        <w:jc w:val="both"/>
        <w:rPr>
          <w:rFonts w:cstheme="minorHAnsi"/>
          <w:sz w:val="22"/>
          <w:szCs w:val="22"/>
        </w:rPr>
      </w:pPr>
    </w:p>
    <w:p w14:paraId="7C8FD7AE" w14:textId="77777777" w:rsidR="003C3A10" w:rsidRDefault="003C3A10" w:rsidP="00396D72">
      <w:pPr>
        <w:pStyle w:val="PargrafodaLista"/>
        <w:tabs>
          <w:tab w:val="left" w:pos="709"/>
        </w:tabs>
        <w:spacing w:line="320" w:lineRule="exact"/>
        <w:ind w:left="0" w:right="426"/>
        <w:jc w:val="both"/>
        <w:rPr>
          <w:rFonts w:cstheme="minorHAnsi"/>
          <w:sz w:val="22"/>
          <w:szCs w:val="22"/>
        </w:rPr>
      </w:pPr>
    </w:p>
    <w:p w14:paraId="2E9BA568" w14:textId="77777777" w:rsidR="003C3A10" w:rsidRPr="002246D0" w:rsidRDefault="003C3A10" w:rsidP="00396D72">
      <w:pPr>
        <w:pStyle w:val="PargrafodaLista"/>
        <w:tabs>
          <w:tab w:val="left" w:pos="709"/>
        </w:tabs>
        <w:spacing w:line="320" w:lineRule="exact"/>
        <w:ind w:left="0" w:right="426"/>
        <w:jc w:val="both"/>
        <w:rPr>
          <w:rFonts w:cstheme="minorHAnsi"/>
          <w:sz w:val="22"/>
          <w:szCs w:val="22"/>
        </w:rPr>
      </w:pPr>
    </w:p>
    <w:p w14:paraId="7A9E8F6B" w14:textId="74D5306B" w:rsidR="0004661C" w:rsidRPr="002246D0" w:rsidRDefault="003E11A0" w:rsidP="00396D72">
      <w:pPr>
        <w:pStyle w:val="PargrafodaLista"/>
        <w:tabs>
          <w:tab w:val="left" w:pos="709"/>
        </w:tabs>
        <w:spacing w:line="320" w:lineRule="exact"/>
        <w:ind w:left="0" w:right="426"/>
        <w:jc w:val="both"/>
        <w:rPr>
          <w:rFonts w:cstheme="minorHAnsi"/>
          <w:sz w:val="22"/>
          <w:szCs w:val="22"/>
        </w:rPr>
      </w:pPr>
      <w:r w:rsidRPr="002246D0">
        <w:rPr>
          <w:rFonts w:cstheme="minorHAnsi"/>
          <w:bCs/>
          <w:sz w:val="22"/>
          <w:szCs w:val="22"/>
          <w:lang w:val="pt-BR"/>
        </w:rPr>
        <w:tab/>
      </w:r>
      <w:r w:rsidR="0004661C" w:rsidRPr="002246D0">
        <w:rPr>
          <w:rFonts w:cstheme="minorHAnsi"/>
          <w:bCs/>
          <w:sz w:val="22"/>
          <w:szCs w:val="22"/>
          <w:lang w:val="pt-BR"/>
        </w:rPr>
        <w:t>Ao término da prestação jurisdicional, entendeu</w:t>
      </w:r>
      <w:r w:rsidR="001F73C4" w:rsidRPr="002246D0">
        <w:rPr>
          <w:rFonts w:cstheme="minorHAnsi"/>
          <w:bCs/>
          <w:sz w:val="22"/>
          <w:szCs w:val="22"/>
          <w:lang w:val="pt-BR"/>
        </w:rPr>
        <w:t xml:space="preserve"> adequadamente</w:t>
      </w:r>
      <w:r w:rsidR="0004661C" w:rsidRPr="002246D0">
        <w:rPr>
          <w:rFonts w:cstheme="minorHAnsi"/>
          <w:bCs/>
          <w:sz w:val="22"/>
          <w:szCs w:val="22"/>
          <w:lang w:val="pt-BR"/>
        </w:rPr>
        <w:t xml:space="preserve"> o Douto Magistrado </w:t>
      </w:r>
      <w:r w:rsidR="0004661C" w:rsidRPr="002246D0">
        <w:rPr>
          <w:rFonts w:cstheme="minorHAnsi"/>
          <w:bCs/>
          <w:i/>
          <w:iCs/>
          <w:sz w:val="22"/>
          <w:szCs w:val="22"/>
          <w:lang w:val="pt-BR"/>
        </w:rPr>
        <w:t>a quo</w:t>
      </w:r>
      <w:r w:rsidR="0004661C" w:rsidRPr="002246D0">
        <w:rPr>
          <w:rFonts w:cstheme="minorHAnsi"/>
          <w:bCs/>
          <w:sz w:val="22"/>
          <w:szCs w:val="22"/>
          <w:lang w:val="pt-BR"/>
        </w:rPr>
        <w:t xml:space="preserve"> pela </w:t>
      </w:r>
      <w:r w:rsidR="001F73C4" w:rsidRPr="002246D0">
        <w:rPr>
          <w:rFonts w:cstheme="minorHAnsi"/>
          <w:bCs/>
          <w:sz w:val="22"/>
          <w:szCs w:val="22"/>
          <w:lang w:val="pt-BR"/>
        </w:rPr>
        <w:t>im</w:t>
      </w:r>
      <w:r w:rsidR="0004661C" w:rsidRPr="002246D0">
        <w:rPr>
          <w:rFonts w:cstheme="minorHAnsi"/>
          <w:bCs/>
          <w:sz w:val="22"/>
          <w:szCs w:val="22"/>
          <w:lang w:val="pt-BR"/>
        </w:rPr>
        <w:t>procedência dos pedidos formulados na exordial:</w:t>
      </w:r>
    </w:p>
    <w:p w14:paraId="2FF0F5DB" w14:textId="77777777" w:rsidR="0004661C" w:rsidRPr="002246D0" w:rsidRDefault="0004661C" w:rsidP="00396D72">
      <w:pPr>
        <w:pStyle w:val="PargrafodaLista"/>
        <w:ind w:right="426"/>
        <w:rPr>
          <w:rFonts w:cstheme="minorHAnsi"/>
          <w:bCs/>
          <w:sz w:val="22"/>
          <w:szCs w:val="22"/>
          <w:lang w:val="pt-BR"/>
        </w:rPr>
      </w:pPr>
    </w:p>
    <w:p w14:paraId="71181CBD" w14:textId="77777777" w:rsidR="002246D0" w:rsidRDefault="0004661C" w:rsidP="002246D0">
      <w:pPr>
        <w:ind w:left="2268" w:right="426"/>
        <w:jc w:val="both"/>
        <w:rPr>
          <w:rFonts w:asciiTheme="minorHAnsi" w:hAnsiTheme="minorHAnsi" w:cstheme="minorHAnsi"/>
          <w:bCs/>
          <w:i/>
          <w:iCs/>
        </w:rPr>
      </w:pPr>
      <w:r w:rsidRPr="002246D0">
        <w:rPr>
          <w:rFonts w:asciiTheme="minorHAnsi" w:hAnsiTheme="minorHAnsi" w:cstheme="minorHAnsi"/>
          <w:bCs/>
          <w:i/>
          <w:iCs/>
        </w:rPr>
        <w:t>“</w:t>
      </w:r>
      <w:r w:rsidR="002246D0" w:rsidRPr="002246D0">
        <w:rPr>
          <w:rFonts w:asciiTheme="minorHAnsi" w:hAnsiTheme="minorHAnsi" w:cstheme="minorHAnsi"/>
          <w:bCs/>
          <w:i/>
          <w:iCs/>
        </w:rPr>
        <w:t xml:space="preserve">Ante o exposto, acolho a preliminar de ilegitimidade passiva da Caixa Econômica Federal para responder pelo atraso na entrega do imóvel situado no Loteamento Bairro Jardim Petrópolis II e, por conseguinte, julgo extinto o feito sem resolução do mérito, com base no art. 485, VI, do Código de Processo Civil, nos termos da fundamentação. </w:t>
      </w:r>
    </w:p>
    <w:p w14:paraId="17641C8E" w14:textId="77777777" w:rsidR="002246D0" w:rsidRDefault="002246D0" w:rsidP="002246D0">
      <w:pPr>
        <w:ind w:left="2268" w:right="426"/>
        <w:jc w:val="both"/>
        <w:rPr>
          <w:rFonts w:asciiTheme="minorHAnsi" w:hAnsiTheme="minorHAnsi" w:cstheme="minorHAnsi"/>
          <w:bCs/>
          <w:i/>
          <w:iCs/>
        </w:rPr>
      </w:pPr>
    </w:p>
    <w:p w14:paraId="20BBFF25" w14:textId="45137B0B" w:rsidR="0004661C" w:rsidRPr="002246D0" w:rsidRDefault="002246D0" w:rsidP="002246D0">
      <w:pPr>
        <w:ind w:left="2268" w:right="426"/>
        <w:jc w:val="both"/>
        <w:rPr>
          <w:rFonts w:asciiTheme="minorHAnsi" w:hAnsiTheme="minorHAnsi" w:cstheme="minorHAnsi"/>
          <w:bCs/>
          <w:i/>
          <w:iCs/>
        </w:rPr>
      </w:pPr>
      <w:r w:rsidRPr="002246D0">
        <w:rPr>
          <w:rFonts w:asciiTheme="minorHAnsi" w:hAnsiTheme="minorHAnsi" w:cstheme="minorHAnsi"/>
          <w:bCs/>
          <w:i/>
          <w:iCs/>
        </w:rPr>
        <w:t>Condeno a parte autora ao pagamento das custas processuais e de honorários advocatícios fixados em 10% sobre o valor da causa (art. 85, §2º, do CPC). Considerando o deferimento do benefício da gratuidade da justiça, suspendo a exigibilidade das verbas, nos termos do art. 98, §3º, do CPC.</w:t>
      </w:r>
      <w:r w:rsidR="0004661C" w:rsidRPr="002246D0">
        <w:rPr>
          <w:rFonts w:asciiTheme="minorHAnsi" w:hAnsiTheme="minorHAnsi" w:cstheme="minorHAnsi"/>
          <w:bCs/>
          <w:i/>
          <w:iCs/>
        </w:rPr>
        <w:t xml:space="preserve">” </w:t>
      </w:r>
    </w:p>
    <w:p w14:paraId="6737EB95" w14:textId="77777777" w:rsidR="0004661C" w:rsidRPr="002246D0" w:rsidRDefault="0004661C" w:rsidP="00396D72">
      <w:pPr>
        <w:pStyle w:val="PargrafodaLista"/>
        <w:ind w:right="426"/>
        <w:jc w:val="both"/>
        <w:rPr>
          <w:rFonts w:cstheme="minorHAnsi"/>
          <w:sz w:val="22"/>
          <w:szCs w:val="22"/>
        </w:rPr>
      </w:pPr>
    </w:p>
    <w:p w14:paraId="594FC948" w14:textId="464DA8E3" w:rsidR="0004661C" w:rsidRDefault="003E11A0" w:rsidP="00396D72">
      <w:pPr>
        <w:pStyle w:val="PargrafodaLista"/>
        <w:tabs>
          <w:tab w:val="left" w:pos="709"/>
        </w:tabs>
        <w:spacing w:line="320" w:lineRule="exact"/>
        <w:ind w:left="0" w:right="426"/>
        <w:jc w:val="both"/>
        <w:rPr>
          <w:rFonts w:cstheme="minorHAnsi"/>
          <w:sz w:val="22"/>
          <w:szCs w:val="22"/>
          <w:lang w:val="pt-BR"/>
        </w:rPr>
      </w:pPr>
      <w:r w:rsidRPr="002246D0">
        <w:rPr>
          <w:rFonts w:cstheme="minorHAnsi"/>
          <w:sz w:val="22"/>
          <w:szCs w:val="22"/>
        </w:rPr>
        <w:tab/>
      </w:r>
      <w:r w:rsidR="0004661C" w:rsidRPr="002246D0">
        <w:rPr>
          <w:rFonts w:cstheme="minorHAnsi"/>
          <w:sz w:val="22"/>
          <w:szCs w:val="22"/>
          <w:lang w:val="pt-BR"/>
        </w:rPr>
        <w:t xml:space="preserve">Inconformada, a recorrente, interpôs recurso, pleiteando a reforma da r. sentença a fim de que fosse </w:t>
      </w:r>
      <w:r w:rsidR="001F73C4" w:rsidRPr="002246D0">
        <w:rPr>
          <w:rFonts w:cstheme="minorHAnsi"/>
          <w:sz w:val="22"/>
          <w:szCs w:val="22"/>
          <w:lang w:val="pt-BR"/>
        </w:rPr>
        <w:t>reformada a r. sentença</w:t>
      </w:r>
      <w:r w:rsidR="0004661C" w:rsidRPr="002246D0">
        <w:rPr>
          <w:rFonts w:cstheme="minorHAnsi"/>
          <w:sz w:val="22"/>
          <w:szCs w:val="22"/>
          <w:lang w:val="pt-BR"/>
        </w:rPr>
        <w:t>. Ocorre que não merece prosperar a irresignação autoral, mormente por não</w:t>
      </w:r>
      <w:r w:rsidR="001F73C4" w:rsidRPr="002246D0">
        <w:rPr>
          <w:rFonts w:cstheme="minorHAnsi"/>
          <w:sz w:val="22"/>
          <w:szCs w:val="22"/>
          <w:lang w:val="pt-BR"/>
        </w:rPr>
        <w:t xml:space="preserve"> haver previsão contratual, tampouco legal para o pleito de danos materiais, muito menos</w:t>
      </w:r>
      <w:r w:rsidR="0004661C" w:rsidRPr="002246D0">
        <w:rPr>
          <w:rFonts w:cstheme="minorHAnsi"/>
          <w:sz w:val="22"/>
          <w:szCs w:val="22"/>
          <w:lang w:val="pt-BR"/>
        </w:rPr>
        <w:t xml:space="preserve"> ter havido qualquer ato ilícito da parte </w:t>
      </w:r>
      <w:r w:rsidR="003C3A10">
        <w:rPr>
          <w:rFonts w:cstheme="minorHAnsi"/>
          <w:sz w:val="22"/>
          <w:szCs w:val="22"/>
          <w:lang w:val="pt-BR"/>
        </w:rPr>
        <w:t>recorrida</w:t>
      </w:r>
      <w:r w:rsidR="001F73C4" w:rsidRPr="002246D0">
        <w:rPr>
          <w:rFonts w:cstheme="minorHAnsi"/>
          <w:sz w:val="22"/>
          <w:szCs w:val="22"/>
          <w:lang w:val="pt-BR"/>
        </w:rPr>
        <w:t xml:space="preserve"> que justifique compensação moral</w:t>
      </w:r>
      <w:r w:rsidR="0004661C" w:rsidRPr="002246D0">
        <w:rPr>
          <w:rFonts w:cstheme="minorHAnsi"/>
          <w:sz w:val="22"/>
          <w:szCs w:val="22"/>
          <w:lang w:val="pt-BR"/>
        </w:rPr>
        <w:t xml:space="preserve">. </w:t>
      </w:r>
    </w:p>
    <w:p w14:paraId="0D5EE462" w14:textId="77777777"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2FC31DD8" w14:textId="5FA9E709" w:rsidR="002246D0" w:rsidRDefault="002246D0" w:rsidP="00396D72">
      <w:pPr>
        <w:pStyle w:val="PargrafodaLista"/>
        <w:tabs>
          <w:tab w:val="left" w:pos="709"/>
        </w:tabs>
        <w:spacing w:line="320" w:lineRule="exact"/>
        <w:ind w:left="0" w:right="426"/>
        <w:jc w:val="both"/>
        <w:rPr>
          <w:rFonts w:cstheme="minorHAnsi"/>
          <w:sz w:val="22"/>
          <w:szCs w:val="22"/>
          <w:lang w:val="pt-BR"/>
        </w:rPr>
      </w:pPr>
      <w:r>
        <w:rPr>
          <w:rFonts w:cstheme="minorHAnsi"/>
          <w:sz w:val="22"/>
          <w:szCs w:val="22"/>
          <w:lang w:val="pt-BR"/>
        </w:rPr>
        <w:tab/>
        <w:t>Pela assertividade, técnica e observação cirúrgica dos autos, merece destaque trecho da sentença que ratifica a ilegitimidade, fundamentando a decisão tomada:</w:t>
      </w:r>
    </w:p>
    <w:p w14:paraId="71A2B3FC" w14:textId="77777777"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6C3D2071" w14:textId="285A60BC"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62D22526" w14:textId="4517649D" w:rsidR="002246D0" w:rsidRDefault="002246D0" w:rsidP="002246D0">
      <w:pPr>
        <w:pStyle w:val="PargrafodaLista"/>
        <w:tabs>
          <w:tab w:val="left" w:pos="709"/>
        </w:tabs>
        <w:spacing w:line="320" w:lineRule="exact"/>
        <w:ind w:left="2268" w:right="426"/>
        <w:jc w:val="both"/>
        <w:rPr>
          <w:rFonts w:cstheme="minorHAnsi"/>
          <w:sz w:val="22"/>
          <w:szCs w:val="22"/>
          <w:lang w:val="pt-BR"/>
        </w:rPr>
      </w:pPr>
      <w:r w:rsidRPr="002246D0">
        <w:rPr>
          <w:rFonts w:cstheme="minorHAnsi"/>
          <w:sz w:val="22"/>
          <w:szCs w:val="22"/>
          <w:lang w:val="pt-BR"/>
        </w:rPr>
        <w:drawing>
          <wp:anchor distT="0" distB="0" distL="114300" distR="114300" simplePos="0" relativeHeight="251658240" behindDoc="0" locked="0" layoutInCell="1" allowOverlap="1" wp14:anchorId="6A39EBC9" wp14:editId="3A1BC0B6">
            <wp:simplePos x="0" y="0"/>
            <wp:positionH relativeFrom="page">
              <wp:posOffset>2257425</wp:posOffset>
            </wp:positionH>
            <wp:positionV relativeFrom="paragraph">
              <wp:posOffset>926465</wp:posOffset>
            </wp:positionV>
            <wp:extent cx="4648200" cy="1176020"/>
            <wp:effectExtent l="0" t="0" r="0" b="5080"/>
            <wp:wrapTopAndBottom/>
            <wp:docPr id="861663063"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63063" name="Imagem 1" descr="Texto, Carta&#10;&#10;Descrição gerada automaticamente"/>
                    <pic:cNvPicPr/>
                  </pic:nvPicPr>
                  <pic:blipFill>
                    <a:blip r:embed="rId9">
                      <a:extLst>
                        <a:ext uri="{28A0092B-C50C-407E-A947-70E740481C1C}">
                          <a14:useLocalDpi xmlns:a14="http://schemas.microsoft.com/office/drawing/2010/main" val="0"/>
                        </a:ext>
                      </a:extLst>
                    </a:blip>
                    <a:stretch>
                      <a:fillRect/>
                    </a:stretch>
                  </pic:blipFill>
                  <pic:spPr>
                    <a:xfrm>
                      <a:off x="0" y="0"/>
                      <a:ext cx="4648200" cy="1176020"/>
                    </a:xfrm>
                    <a:prstGeom prst="rect">
                      <a:avLst/>
                    </a:prstGeom>
                  </pic:spPr>
                </pic:pic>
              </a:graphicData>
            </a:graphic>
            <wp14:sizeRelH relativeFrom="margin">
              <wp14:pctWidth>0</wp14:pctWidth>
            </wp14:sizeRelH>
          </wp:anchor>
        </w:drawing>
      </w:r>
      <w:r>
        <w:rPr>
          <w:rFonts w:cstheme="minorHAnsi"/>
          <w:sz w:val="22"/>
          <w:szCs w:val="22"/>
          <w:lang w:val="pt-BR"/>
        </w:rPr>
        <w:t>“</w:t>
      </w:r>
      <w:r w:rsidRPr="002246D0">
        <w:rPr>
          <w:rFonts w:cstheme="minorHAnsi"/>
          <w:sz w:val="22"/>
          <w:szCs w:val="22"/>
          <w:lang w:val="pt-BR"/>
        </w:rPr>
        <w:t>Veja-se que a Cláusula Quarta do contrato prevê que os valores destinados ao custeio da obra são liberados aos próprios devedores (mutuários), que por sua vez, pagarão a empreiteira que contratarem, de acordo com o pacto firmado com esta (evento 7, CONTR2):</w:t>
      </w:r>
    </w:p>
    <w:p w14:paraId="0C521D09" w14:textId="1BC08E14"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71E0998B" w14:textId="5EF3BAE6" w:rsidR="002246D0" w:rsidRDefault="002246D0" w:rsidP="002246D0">
      <w:pPr>
        <w:pStyle w:val="PargrafodaLista"/>
        <w:tabs>
          <w:tab w:val="left" w:pos="709"/>
        </w:tabs>
        <w:spacing w:line="320" w:lineRule="exact"/>
        <w:ind w:left="2268" w:right="426"/>
        <w:jc w:val="both"/>
        <w:rPr>
          <w:rFonts w:cstheme="minorHAnsi"/>
          <w:sz w:val="22"/>
          <w:szCs w:val="22"/>
          <w:lang w:val="pt-BR"/>
        </w:rPr>
      </w:pPr>
      <w:r w:rsidRPr="002246D0">
        <w:rPr>
          <w:rFonts w:cstheme="minorHAnsi"/>
          <w:sz w:val="22"/>
          <w:szCs w:val="22"/>
          <w:lang w:val="pt-BR"/>
        </w:rPr>
        <w:t>Além disso, no caso de descumprimento do prazo de execução da obra originalmente pactuado, os mutuários é quem assumem, perante a CEF, a obrigação de terminá-la com recursos próprios, conforme a Cláusula Sexta (evento 7, CONTR2):</w:t>
      </w:r>
    </w:p>
    <w:p w14:paraId="4C9259C8" w14:textId="4755FA8C" w:rsidR="002246D0" w:rsidRDefault="002246D0" w:rsidP="00396D72">
      <w:pPr>
        <w:pStyle w:val="PargrafodaLista"/>
        <w:tabs>
          <w:tab w:val="left" w:pos="709"/>
        </w:tabs>
        <w:spacing w:line="320" w:lineRule="exact"/>
        <w:ind w:left="0" w:right="426"/>
        <w:jc w:val="both"/>
        <w:rPr>
          <w:rFonts w:cstheme="minorHAnsi"/>
          <w:sz w:val="22"/>
          <w:szCs w:val="22"/>
          <w:lang w:val="pt-BR"/>
        </w:rPr>
      </w:pPr>
      <w:r w:rsidRPr="002246D0">
        <w:rPr>
          <w:rFonts w:cstheme="minorHAnsi"/>
          <w:sz w:val="22"/>
          <w:szCs w:val="22"/>
          <w:lang w:val="pt-BR"/>
        </w:rPr>
        <w:drawing>
          <wp:anchor distT="0" distB="0" distL="114300" distR="114300" simplePos="0" relativeHeight="251659264" behindDoc="0" locked="0" layoutInCell="1" allowOverlap="1" wp14:anchorId="3D98FDEC" wp14:editId="4879A367">
            <wp:simplePos x="0" y="0"/>
            <wp:positionH relativeFrom="margin">
              <wp:align>right</wp:align>
            </wp:positionH>
            <wp:positionV relativeFrom="paragraph">
              <wp:posOffset>212725</wp:posOffset>
            </wp:positionV>
            <wp:extent cx="4924425" cy="1383030"/>
            <wp:effectExtent l="0" t="0" r="9525" b="7620"/>
            <wp:wrapTopAndBottom/>
            <wp:docPr id="1566513956"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13956" name="Imagem 1" descr="Texto&#10;&#10;Descrição gerada automaticamente"/>
                    <pic:cNvPicPr/>
                  </pic:nvPicPr>
                  <pic:blipFill>
                    <a:blip r:embed="rId10">
                      <a:extLst>
                        <a:ext uri="{28A0092B-C50C-407E-A947-70E740481C1C}">
                          <a14:useLocalDpi xmlns:a14="http://schemas.microsoft.com/office/drawing/2010/main" val="0"/>
                        </a:ext>
                      </a:extLst>
                    </a:blip>
                    <a:stretch>
                      <a:fillRect/>
                    </a:stretch>
                  </pic:blipFill>
                  <pic:spPr>
                    <a:xfrm>
                      <a:off x="0" y="0"/>
                      <a:ext cx="4924425" cy="1383030"/>
                    </a:xfrm>
                    <a:prstGeom prst="rect">
                      <a:avLst/>
                    </a:prstGeom>
                  </pic:spPr>
                </pic:pic>
              </a:graphicData>
            </a:graphic>
            <wp14:sizeRelH relativeFrom="margin">
              <wp14:pctWidth>0</wp14:pctWidth>
            </wp14:sizeRelH>
          </wp:anchor>
        </w:drawing>
      </w:r>
    </w:p>
    <w:p w14:paraId="6682844A" w14:textId="48975030"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71715F72" w14:textId="77777777"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0FF272C5" w14:textId="1013831D" w:rsidR="002246D0" w:rsidRDefault="002246D0" w:rsidP="002246D0">
      <w:pPr>
        <w:pStyle w:val="PargrafodaLista"/>
        <w:tabs>
          <w:tab w:val="left" w:pos="709"/>
        </w:tabs>
        <w:spacing w:line="320" w:lineRule="exact"/>
        <w:ind w:left="2268" w:right="426"/>
        <w:jc w:val="both"/>
        <w:rPr>
          <w:rFonts w:cstheme="minorHAnsi"/>
          <w:sz w:val="22"/>
          <w:szCs w:val="22"/>
          <w:lang w:val="pt-BR"/>
        </w:rPr>
      </w:pPr>
      <w:r w:rsidRPr="002246D0">
        <w:rPr>
          <w:rFonts w:cstheme="minorHAnsi"/>
          <w:sz w:val="22"/>
          <w:szCs w:val="22"/>
          <w:lang w:val="pt-BR"/>
        </w:rPr>
        <w:t xml:space="preserve">Nesse aspecto, é necessário ponderar que </w:t>
      </w:r>
      <w:r w:rsidRPr="002246D0">
        <w:rPr>
          <w:rFonts w:cstheme="minorHAnsi"/>
          <w:b/>
          <w:bCs/>
          <w:highlight w:val="yellow"/>
          <w:u w:val="single"/>
          <w:lang w:val="pt-BR"/>
        </w:rPr>
        <w:t>o contrato por empreitada é um contrato de risco, cuja análise das implicações e das consequências competia exclusivamente à parte autora, que optou livremente pela aquisição do terreno junto à vendedora e da contratação de serviço de uma construtora para a empreitada</w:t>
      </w:r>
      <w:r w:rsidRPr="002246D0">
        <w:rPr>
          <w:rFonts w:cstheme="minorHAnsi"/>
          <w:sz w:val="22"/>
          <w:szCs w:val="22"/>
          <w:lang w:val="pt-BR"/>
        </w:rPr>
        <w:t>.</w:t>
      </w:r>
      <w:r>
        <w:rPr>
          <w:rFonts w:cstheme="minorHAnsi"/>
          <w:sz w:val="22"/>
          <w:szCs w:val="22"/>
          <w:lang w:val="pt-BR"/>
        </w:rPr>
        <w:t xml:space="preserve"> (...)”</w:t>
      </w:r>
    </w:p>
    <w:p w14:paraId="2C311E43" w14:textId="77777777"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2C5861E6" w14:textId="49DBB88E" w:rsidR="002246D0" w:rsidRPr="002246D0" w:rsidRDefault="002246D0" w:rsidP="00396D72">
      <w:pPr>
        <w:pStyle w:val="PargrafodaLista"/>
        <w:tabs>
          <w:tab w:val="left" w:pos="709"/>
        </w:tabs>
        <w:spacing w:line="320" w:lineRule="exact"/>
        <w:ind w:left="0" w:right="426"/>
        <w:jc w:val="both"/>
        <w:rPr>
          <w:rFonts w:cstheme="minorHAnsi"/>
          <w:sz w:val="22"/>
          <w:szCs w:val="22"/>
          <w:lang w:val="pt-BR"/>
        </w:rPr>
      </w:pPr>
    </w:p>
    <w:p w14:paraId="64E9A758" w14:textId="77777777" w:rsidR="0004661C" w:rsidRPr="002246D0" w:rsidRDefault="0004661C" w:rsidP="00396D72">
      <w:pPr>
        <w:tabs>
          <w:tab w:val="left" w:pos="709"/>
        </w:tabs>
        <w:spacing w:line="320" w:lineRule="exact"/>
        <w:ind w:right="426"/>
        <w:jc w:val="both"/>
        <w:rPr>
          <w:rFonts w:asciiTheme="minorHAnsi" w:hAnsiTheme="minorHAnsi" w:cstheme="minorHAnsi"/>
        </w:rPr>
      </w:pPr>
    </w:p>
    <w:p w14:paraId="43F4BDFF" w14:textId="46110E32" w:rsidR="0004661C" w:rsidRPr="002246D0" w:rsidRDefault="003E11A0" w:rsidP="00396D72">
      <w:pPr>
        <w:pStyle w:val="PargrafodaLista"/>
        <w:tabs>
          <w:tab w:val="left" w:pos="709"/>
        </w:tabs>
        <w:spacing w:line="320" w:lineRule="exact"/>
        <w:ind w:left="0" w:right="426"/>
        <w:jc w:val="both"/>
        <w:rPr>
          <w:rFonts w:cstheme="minorHAnsi"/>
          <w:sz w:val="22"/>
          <w:szCs w:val="22"/>
          <w:lang w:val="pt-BR"/>
        </w:rPr>
      </w:pPr>
      <w:r w:rsidRPr="002246D0">
        <w:rPr>
          <w:rFonts w:cstheme="minorHAnsi"/>
          <w:sz w:val="22"/>
          <w:szCs w:val="22"/>
          <w:lang w:val="pt-BR"/>
        </w:rPr>
        <w:tab/>
      </w:r>
      <w:r w:rsidR="0004661C" w:rsidRPr="002246D0">
        <w:rPr>
          <w:rFonts w:cstheme="minorHAnsi"/>
          <w:sz w:val="22"/>
          <w:szCs w:val="22"/>
          <w:lang w:val="pt-BR"/>
        </w:rPr>
        <w:t>Ademais, conforme restará comprovado na análise do recurso interposto pela Caixa Econômica Federal, esta sequer é parte legítima para responder aos pedidos deduzidos em juízo, mormente por figurar como MERA FINANCIADORA.</w:t>
      </w:r>
      <w:r w:rsidR="001F73C4" w:rsidRPr="002246D0">
        <w:rPr>
          <w:rFonts w:cstheme="minorHAnsi"/>
          <w:sz w:val="22"/>
          <w:szCs w:val="22"/>
          <w:lang w:val="pt-BR"/>
        </w:rPr>
        <w:t xml:space="preserve"> </w:t>
      </w:r>
    </w:p>
    <w:p w14:paraId="2A42667F" w14:textId="77777777" w:rsidR="0004661C" w:rsidRPr="002246D0" w:rsidRDefault="0004661C" w:rsidP="00396D72">
      <w:pPr>
        <w:pStyle w:val="PargrafodaLista"/>
        <w:ind w:right="426"/>
        <w:rPr>
          <w:rFonts w:cstheme="minorHAnsi"/>
          <w:sz w:val="22"/>
          <w:szCs w:val="22"/>
        </w:rPr>
      </w:pPr>
    </w:p>
    <w:p w14:paraId="1DFF841D" w14:textId="77777777" w:rsidR="002246D0" w:rsidRDefault="002246D0" w:rsidP="00755273">
      <w:pPr>
        <w:spacing w:line="360" w:lineRule="auto"/>
        <w:jc w:val="center"/>
        <w:rPr>
          <w:rFonts w:asciiTheme="minorHAnsi" w:hAnsiTheme="minorHAnsi" w:cstheme="minorHAnsi"/>
        </w:rPr>
      </w:pPr>
    </w:p>
    <w:p w14:paraId="3ADFC929" w14:textId="77777777" w:rsidR="002246D0" w:rsidRPr="00CC67DC" w:rsidRDefault="002246D0" w:rsidP="002246D0">
      <w:pPr>
        <w:spacing w:line="360" w:lineRule="auto"/>
        <w:jc w:val="both"/>
        <w:rPr>
          <w:rFonts w:cs="Calibri"/>
          <w:b/>
        </w:rPr>
      </w:pPr>
      <w:r>
        <w:rPr>
          <w:rFonts w:eastAsia="Times New Roman" w:cs="Calibri"/>
          <w:b/>
          <w:sz w:val="24"/>
          <w:szCs w:val="24"/>
          <w:lang w:eastAsia="pt-BR"/>
        </w:rPr>
        <w:t>- DA ILEGITIMIDADE PASSIVA DA CAIXA</w:t>
      </w:r>
    </w:p>
    <w:p w14:paraId="3634FF77" w14:textId="48F9252E" w:rsidR="002246D0" w:rsidRPr="003C3A10" w:rsidRDefault="002246D0" w:rsidP="002246D0">
      <w:pPr>
        <w:pStyle w:val="PargrafodaLista"/>
        <w:spacing w:line="360" w:lineRule="auto"/>
        <w:ind w:left="0" w:firstLine="1701"/>
        <w:jc w:val="both"/>
        <w:rPr>
          <w:rFonts w:ascii="Calibri" w:hAnsi="Calibri" w:cs="Calibri"/>
          <w:bCs/>
          <w:lang w:val="pt-BR"/>
        </w:rPr>
      </w:pPr>
      <w:r w:rsidRPr="003C3A10">
        <w:rPr>
          <w:rFonts w:ascii="Calibri" w:hAnsi="Calibri" w:cs="Calibri"/>
          <w:bCs/>
          <w:lang w:val="pt-BR"/>
        </w:rPr>
        <w:t>Inicialmente, é importante delimitar a pretensão apresentada contra a CAIXA e o fundamento da responsabilidade atribuída à R</w:t>
      </w:r>
      <w:r w:rsidR="003C3A10">
        <w:rPr>
          <w:rFonts w:ascii="Calibri" w:hAnsi="Calibri" w:cs="Calibri"/>
          <w:bCs/>
          <w:lang w:val="pt-BR"/>
        </w:rPr>
        <w:t>ecorrida</w:t>
      </w:r>
      <w:r w:rsidRPr="003C3A10">
        <w:rPr>
          <w:rFonts w:ascii="Calibri" w:hAnsi="Calibri" w:cs="Calibri"/>
          <w:bCs/>
          <w:lang w:val="pt-BR"/>
        </w:rPr>
        <w:t>.</w:t>
      </w:r>
    </w:p>
    <w:p w14:paraId="2A393C58" w14:textId="77777777" w:rsidR="002246D0" w:rsidRDefault="002246D0" w:rsidP="002246D0">
      <w:pPr>
        <w:spacing w:line="360" w:lineRule="auto"/>
        <w:ind w:firstLine="1701"/>
        <w:jc w:val="both"/>
        <w:rPr>
          <w:rFonts w:cs="Calibri"/>
          <w:b/>
          <w:sz w:val="24"/>
          <w:szCs w:val="24"/>
        </w:rPr>
      </w:pPr>
    </w:p>
    <w:p w14:paraId="70CCB3B6" w14:textId="37B0767A" w:rsidR="002246D0" w:rsidRDefault="002246D0" w:rsidP="002246D0">
      <w:pPr>
        <w:spacing w:line="360" w:lineRule="auto"/>
        <w:ind w:firstLine="1701"/>
        <w:jc w:val="both"/>
        <w:rPr>
          <w:rFonts w:cs="Calibri"/>
          <w:b/>
          <w:sz w:val="24"/>
          <w:szCs w:val="24"/>
        </w:rPr>
      </w:pPr>
      <w:r w:rsidRPr="0025366B">
        <w:rPr>
          <w:rFonts w:cs="Calibri"/>
          <w:b/>
          <w:sz w:val="24"/>
          <w:szCs w:val="24"/>
        </w:rPr>
        <w:t>Conforme narra</w:t>
      </w:r>
      <w:r>
        <w:rPr>
          <w:rFonts w:cs="Calibri"/>
          <w:b/>
          <w:sz w:val="24"/>
          <w:szCs w:val="24"/>
        </w:rPr>
        <w:t>tiva transcrita</w:t>
      </w:r>
      <w:r w:rsidRPr="0025366B">
        <w:rPr>
          <w:rFonts w:cs="Calibri"/>
          <w:b/>
          <w:sz w:val="24"/>
          <w:szCs w:val="24"/>
        </w:rPr>
        <w:t xml:space="preserve">, o </w:t>
      </w:r>
      <w:r w:rsidR="003C3A10">
        <w:rPr>
          <w:rFonts w:cs="Calibri"/>
          <w:b/>
          <w:sz w:val="24"/>
          <w:szCs w:val="24"/>
        </w:rPr>
        <w:t>recorrente</w:t>
      </w:r>
      <w:r>
        <w:rPr>
          <w:rFonts w:cs="Calibri"/>
          <w:b/>
          <w:sz w:val="24"/>
          <w:szCs w:val="24"/>
        </w:rPr>
        <w:t xml:space="preserve"> </w:t>
      </w:r>
      <w:r w:rsidRPr="0025366B">
        <w:rPr>
          <w:rFonts w:cs="Calibri"/>
          <w:b/>
          <w:sz w:val="24"/>
          <w:szCs w:val="24"/>
        </w:rPr>
        <w:t xml:space="preserve">pleiteia a condenação da CAIXA na </w:t>
      </w:r>
      <w:r>
        <w:rPr>
          <w:rFonts w:cs="Calibri"/>
          <w:b/>
          <w:sz w:val="24"/>
          <w:szCs w:val="24"/>
        </w:rPr>
        <w:t xml:space="preserve">obrigação de </w:t>
      </w:r>
      <w:r>
        <w:rPr>
          <w:rFonts w:cs="Calibri"/>
          <w:b/>
          <w:sz w:val="24"/>
          <w:szCs w:val="24"/>
          <w:u w:val="single"/>
        </w:rPr>
        <w:t xml:space="preserve">indenizar em virtude de atraso na entrega do imóvel, que lhe deveria ter sido entregue até </w:t>
      </w:r>
      <w:proofErr w:type="gramStart"/>
      <w:r>
        <w:rPr>
          <w:rFonts w:cs="Calibri"/>
          <w:b/>
          <w:sz w:val="24"/>
          <w:szCs w:val="24"/>
        </w:rPr>
        <w:t>Junho</w:t>
      </w:r>
      <w:proofErr w:type="gramEnd"/>
      <w:r>
        <w:rPr>
          <w:rFonts w:cs="Calibri"/>
          <w:b/>
          <w:sz w:val="24"/>
          <w:szCs w:val="24"/>
        </w:rPr>
        <w:t>/2013, ao passo que somente teve o habite-se expedido, portanto, oportunizada a entrega das chaves em 08 de Agosto de 2013, ou seja, menos de 2 meses depois da equivocada alegação de atraso. Explicamos.</w:t>
      </w:r>
    </w:p>
    <w:p w14:paraId="781752B6" w14:textId="77777777" w:rsidR="002246D0" w:rsidRDefault="002246D0" w:rsidP="002246D0">
      <w:pPr>
        <w:spacing w:line="360" w:lineRule="auto"/>
        <w:ind w:firstLine="1701"/>
        <w:jc w:val="both"/>
        <w:rPr>
          <w:rFonts w:cs="Calibri"/>
          <w:b/>
          <w:sz w:val="24"/>
          <w:szCs w:val="24"/>
        </w:rPr>
      </w:pPr>
      <w:r>
        <w:rPr>
          <w:rFonts w:cs="Calibri"/>
          <w:b/>
          <w:sz w:val="24"/>
          <w:szCs w:val="24"/>
        </w:rPr>
        <w:t xml:space="preserve">A parte autora justifica seu pleito em razão de um suposto atraso da entrega do imóvel superior a 6 (Seis) meses. Falácia. Em verdade, percebemos que o HABITE-SE para o condomínio </w:t>
      </w:r>
      <w:r w:rsidRPr="009B2A7D">
        <w:rPr>
          <w:rFonts w:cs="Calibri"/>
          <w:b/>
          <w:sz w:val="24"/>
          <w:szCs w:val="24"/>
        </w:rPr>
        <w:t>Loteamento Jardim Petrópolis II</w:t>
      </w:r>
      <w:r>
        <w:rPr>
          <w:rFonts w:cs="Calibri"/>
          <w:b/>
          <w:sz w:val="24"/>
          <w:szCs w:val="24"/>
        </w:rPr>
        <w:t xml:space="preserve"> foi expedido em 08.08.2013. Assim, considerando que o contrato foi celebrado em 14/02/2012 com estipulação de entrega do imóvel em 18 meses, percebemos que NÃO HOUVE ATRASO NA ENTREGA.</w:t>
      </w:r>
    </w:p>
    <w:p w14:paraId="31CD0B3A" w14:textId="52757D77" w:rsidR="002246D0" w:rsidRPr="009B2A7D" w:rsidRDefault="002246D0" w:rsidP="002246D0">
      <w:pPr>
        <w:spacing w:line="360" w:lineRule="auto"/>
        <w:ind w:firstLine="1701"/>
        <w:jc w:val="both"/>
        <w:rPr>
          <w:rFonts w:cs="Calibri"/>
          <w:b/>
          <w:sz w:val="24"/>
          <w:szCs w:val="24"/>
        </w:rPr>
      </w:pPr>
      <w:r>
        <w:rPr>
          <w:rFonts w:cs="Calibri"/>
          <w:b/>
          <w:sz w:val="24"/>
          <w:szCs w:val="24"/>
        </w:rPr>
        <w:t xml:space="preserve">Convém destacar ainda que, mesmo que pudesse se falar em atraso de obra e suposto dano material e moral (o que não procede!!!), temos que o empreendimento foi COMPLETAMENTE CONCLUÍDO (todas as 150 unidades) em 17/01/2014. Logo, considerando a incidência da legislação consumerista reclamada pelo próprio </w:t>
      </w:r>
      <w:r w:rsidR="003C3A10">
        <w:rPr>
          <w:rFonts w:cs="Calibri"/>
          <w:b/>
          <w:sz w:val="24"/>
          <w:szCs w:val="24"/>
        </w:rPr>
        <w:t>recorrente</w:t>
      </w:r>
      <w:r>
        <w:rPr>
          <w:rFonts w:cs="Calibri"/>
          <w:b/>
          <w:sz w:val="24"/>
          <w:szCs w:val="24"/>
        </w:rPr>
        <w:t>, temos que a pretensão deduzida na exordial está COMPLETAMENTE PRESCRITA!!</w:t>
      </w:r>
    </w:p>
    <w:p w14:paraId="22347455" w14:textId="77777777" w:rsidR="002246D0" w:rsidRDefault="002246D0" w:rsidP="002246D0">
      <w:pPr>
        <w:spacing w:line="360" w:lineRule="auto"/>
        <w:ind w:firstLine="1701"/>
        <w:jc w:val="both"/>
        <w:rPr>
          <w:rFonts w:cs="Calibri"/>
          <w:b/>
          <w:sz w:val="24"/>
          <w:szCs w:val="24"/>
        </w:rPr>
      </w:pPr>
    </w:p>
    <w:p w14:paraId="515FA690" w14:textId="77777777" w:rsidR="002246D0" w:rsidRPr="0025366B" w:rsidRDefault="002246D0" w:rsidP="002246D0">
      <w:pPr>
        <w:spacing w:line="360" w:lineRule="auto"/>
        <w:ind w:firstLine="1701"/>
        <w:jc w:val="both"/>
        <w:rPr>
          <w:rFonts w:cs="Calibri"/>
          <w:bCs/>
          <w:sz w:val="24"/>
          <w:szCs w:val="24"/>
        </w:rPr>
      </w:pPr>
      <w:r>
        <w:rPr>
          <w:rFonts w:cs="Calibri"/>
          <w:bCs/>
          <w:sz w:val="24"/>
          <w:szCs w:val="24"/>
        </w:rPr>
        <w:lastRenderedPageBreak/>
        <w:t>Prosseguindo, a</w:t>
      </w:r>
      <w:r w:rsidRPr="0025366B">
        <w:rPr>
          <w:rFonts w:cs="Calibri"/>
          <w:bCs/>
          <w:sz w:val="24"/>
          <w:szCs w:val="24"/>
        </w:rPr>
        <w:t xml:space="preserve">firma que </w:t>
      </w:r>
      <w:r>
        <w:rPr>
          <w:rFonts w:cs="Calibri"/>
          <w:bCs/>
          <w:sz w:val="24"/>
          <w:szCs w:val="24"/>
        </w:rPr>
        <w:t>a</w:t>
      </w:r>
      <w:r w:rsidRPr="0025366B">
        <w:rPr>
          <w:rFonts w:cs="Calibri"/>
          <w:bCs/>
          <w:sz w:val="24"/>
          <w:szCs w:val="24"/>
        </w:rPr>
        <w:t xml:space="preserve"> obrigação deveria ser cumprida por meio da celebração de contrato de produção de empreendimento, com financiamento do PMCMV</w:t>
      </w:r>
      <w:r>
        <w:rPr>
          <w:rFonts w:cs="Calibri"/>
          <w:bCs/>
          <w:sz w:val="24"/>
          <w:szCs w:val="24"/>
        </w:rPr>
        <w:t xml:space="preserve"> – FAIXA I - FDS</w:t>
      </w:r>
      <w:r w:rsidRPr="0025366B">
        <w:rPr>
          <w:rFonts w:cs="Calibri"/>
          <w:bCs/>
          <w:sz w:val="24"/>
          <w:szCs w:val="24"/>
        </w:rPr>
        <w:t xml:space="preserve"> a ser firmado pela CAIXA com construtora que disponha de capacidades técnica e econômica </w:t>
      </w:r>
      <w:r>
        <w:rPr>
          <w:rFonts w:cs="Calibri"/>
          <w:bCs/>
          <w:sz w:val="24"/>
          <w:szCs w:val="24"/>
        </w:rPr>
        <w:t>e</w:t>
      </w:r>
      <w:r w:rsidRPr="0025366B">
        <w:rPr>
          <w:rFonts w:cs="Calibri"/>
          <w:bCs/>
          <w:sz w:val="24"/>
          <w:szCs w:val="24"/>
        </w:rPr>
        <w:t xml:space="preserve"> com uso, para tanto, dos recursos do FDS.</w:t>
      </w:r>
    </w:p>
    <w:p w14:paraId="5D85B94E" w14:textId="77777777" w:rsidR="002246D0" w:rsidRDefault="002246D0" w:rsidP="002246D0">
      <w:pPr>
        <w:spacing w:line="360" w:lineRule="auto"/>
        <w:ind w:firstLine="1701"/>
        <w:jc w:val="both"/>
        <w:rPr>
          <w:rFonts w:cs="Calibri"/>
          <w:b/>
          <w:sz w:val="24"/>
          <w:szCs w:val="24"/>
        </w:rPr>
      </w:pPr>
    </w:p>
    <w:p w14:paraId="6E22BAC0" w14:textId="77777777" w:rsidR="002246D0" w:rsidRPr="00B71374" w:rsidRDefault="002246D0" w:rsidP="002246D0">
      <w:pPr>
        <w:spacing w:line="360" w:lineRule="auto"/>
        <w:ind w:firstLine="1701"/>
        <w:jc w:val="both"/>
        <w:rPr>
          <w:rFonts w:cs="Calibri"/>
          <w:bCs/>
          <w:sz w:val="24"/>
          <w:szCs w:val="24"/>
        </w:rPr>
      </w:pPr>
      <w:r w:rsidRPr="00B71374">
        <w:rPr>
          <w:rFonts w:cs="Calibri"/>
          <w:bCs/>
          <w:sz w:val="24"/>
          <w:szCs w:val="24"/>
        </w:rPr>
        <w:t xml:space="preserve">Ainda no que se refere especificamente à responsabilidade atribuída à CAIXA, alega que a </w:t>
      </w:r>
      <w:r>
        <w:rPr>
          <w:rFonts w:cs="Calibri"/>
          <w:bCs/>
          <w:sz w:val="24"/>
          <w:szCs w:val="24"/>
        </w:rPr>
        <w:t>Caixa</w:t>
      </w:r>
      <w:r w:rsidRPr="00B71374">
        <w:rPr>
          <w:rFonts w:cs="Calibri"/>
          <w:bCs/>
          <w:sz w:val="24"/>
          <w:szCs w:val="24"/>
        </w:rPr>
        <w:t xml:space="preserve"> seria responsável pela execução da política pública habitacional e teria sido omissa nos cuidados na liberação de recursos.</w:t>
      </w:r>
    </w:p>
    <w:p w14:paraId="45635AA6" w14:textId="77777777" w:rsidR="002246D0" w:rsidRPr="00B71374" w:rsidRDefault="002246D0" w:rsidP="002246D0">
      <w:pPr>
        <w:spacing w:line="360" w:lineRule="auto"/>
        <w:ind w:firstLine="1701"/>
        <w:jc w:val="both"/>
        <w:rPr>
          <w:rFonts w:cs="Calibri"/>
          <w:bCs/>
          <w:sz w:val="24"/>
          <w:szCs w:val="24"/>
        </w:rPr>
      </w:pPr>
    </w:p>
    <w:p w14:paraId="0F9978BC" w14:textId="77777777" w:rsidR="002246D0" w:rsidRDefault="002246D0" w:rsidP="002246D0">
      <w:pPr>
        <w:spacing w:line="360" w:lineRule="auto"/>
        <w:ind w:firstLine="1701"/>
        <w:jc w:val="both"/>
        <w:rPr>
          <w:rFonts w:cs="Calibri"/>
          <w:sz w:val="24"/>
          <w:szCs w:val="24"/>
        </w:rPr>
      </w:pPr>
      <w:r>
        <w:rPr>
          <w:rFonts w:cs="Calibri"/>
          <w:sz w:val="24"/>
          <w:szCs w:val="24"/>
        </w:rPr>
        <w:t>Alega que há responsabilidade solidária desta empresa pública para com a Entidade Organizadora, em razão do termo de cooperação, de modo que a CAIXA deve arcar com a indenização a título de lucros cessantes, danos materiais e mesmo danos morais!</w:t>
      </w:r>
    </w:p>
    <w:p w14:paraId="0DB98364" w14:textId="77777777" w:rsidR="002246D0" w:rsidRPr="00B71374" w:rsidRDefault="002246D0" w:rsidP="002246D0">
      <w:pPr>
        <w:spacing w:line="360" w:lineRule="auto"/>
        <w:ind w:firstLine="1701"/>
        <w:jc w:val="both"/>
        <w:rPr>
          <w:rFonts w:cs="Calibri"/>
          <w:sz w:val="24"/>
          <w:szCs w:val="24"/>
        </w:rPr>
      </w:pPr>
    </w:p>
    <w:p w14:paraId="20F2448F" w14:textId="5BE38269" w:rsidR="002246D0" w:rsidRPr="00B71374" w:rsidRDefault="002246D0" w:rsidP="002246D0">
      <w:pPr>
        <w:spacing w:line="360" w:lineRule="auto"/>
        <w:ind w:firstLine="1701"/>
        <w:jc w:val="both"/>
        <w:rPr>
          <w:rFonts w:cs="Calibri"/>
          <w:b/>
          <w:sz w:val="24"/>
          <w:szCs w:val="24"/>
        </w:rPr>
      </w:pPr>
      <w:r w:rsidRPr="00B71374">
        <w:rPr>
          <w:rFonts w:cs="Calibri"/>
          <w:b/>
          <w:sz w:val="24"/>
          <w:szCs w:val="24"/>
        </w:rPr>
        <w:t xml:space="preserve">Contudo, os argumentos não prosperam, seja porque a alegada omissão da CAIXA não corresponde à verdade, seja porque os argumentos demonstram desconhecimento do </w:t>
      </w:r>
      <w:r w:rsidR="003C3A10">
        <w:rPr>
          <w:rFonts w:cs="Calibri"/>
          <w:b/>
          <w:sz w:val="24"/>
          <w:szCs w:val="24"/>
        </w:rPr>
        <w:t>recorrente</w:t>
      </w:r>
      <w:r w:rsidRPr="00B71374">
        <w:rPr>
          <w:rFonts w:cs="Calibri"/>
          <w:b/>
          <w:sz w:val="24"/>
          <w:szCs w:val="24"/>
        </w:rPr>
        <w:t xml:space="preserve">, em relação à </w:t>
      </w:r>
      <w:r w:rsidRPr="00AA491B">
        <w:rPr>
          <w:rFonts w:cs="Calibri"/>
          <w:b/>
          <w:sz w:val="24"/>
          <w:szCs w:val="24"/>
          <w:u w:val="single"/>
        </w:rPr>
        <w:t>regulamentação do PMCMV – FAIXA I –</w:t>
      </w:r>
      <w:r w:rsidRPr="00B71374">
        <w:rPr>
          <w:rFonts w:cs="Calibri"/>
          <w:b/>
          <w:sz w:val="24"/>
          <w:szCs w:val="24"/>
        </w:rPr>
        <w:t xml:space="preserve"> </w:t>
      </w:r>
      <w:r w:rsidRPr="00B71374">
        <w:rPr>
          <w:rFonts w:cs="Calibri"/>
          <w:b/>
          <w:sz w:val="24"/>
          <w:szCs w:val="24"/>
          <w:u w:val="single"/>
        </w:rPr>
        <w:t>Entidades</w:t>
      </w:r>
      <w:r w:rsidRPr="00B71374">
        <w:rPr>
          <w:rFonts w:cs="Calibri"/>
          <w:b/>
          <w:sz w:val="24"/>
          <w:szCs w:val="24"/>
        </w:rPr>
        <w:t>.</w:t>
      </w:r>
    </w:p>
    <w:p w14:paraId="093CE264" w14:textId="77777777" w:rsidR="002246D0" w:rsidRDefault="002246D0" w:rsidP="002246D0">
      <w:pPr>
        <w:spacing w:line="360" w:lineRule="auto"/>
        <w:ind w:firstLine="1701"/>
        <w:jc w:val="both"/>
        <w:rPr>
          <w:rFonts w:cs="Calibri"/>
          <w:b/>
          <w:sz w:val="24"/>
          <w:szCs w:val="24"/>
        </w:rPr>
      </w:pPr>
    </w:p>
    <w:p w14:paraId="7FC5D1E4" w14:textId="69B90A95" w:rsidR="002246D0" w:rsidRDefault="002246D0" w:rsidP="002246D0">
      <w:pPr>
        <w:spacing w:line="360" w:lineRule="auto"/>
        <w:ind w:firstLine="1701"/>
        <w:jc w:val="both"/>
        <w:rPr>
          <w:rFonts w:cs="Calibri"/>
          <w:b/>
          <w:sz w:val="24"/>
          <w:szCs w:val="24"/>
        </w:rPr>
      </w:pPr>
      <w:r>
        <w:rPr>
          <w:rFonts w:cs="Calibri"/>
          <w:b/>
          <w:sz w:val="24"/>
          <w:szCs w:val="24"/>
        </w:rPr>
        <w:t>De início</w:t>
      </w:r>
      <w:r w:rsidRPr="00521DDC">
        <w:rPr>
          <w:rFonts w:cs="Calibri"/>
          <w:b/>
          <w:sz w:val="24"/>
          <w:szCs w:val="24"/>
        </w:rPr>
        <w:t>,</w:t>
      </w:r>
      <w:r>
        <w:rPr>
          <w:rFonts w:cs="Calibri"/>
          <w:b/>
          <w:sz w:val="24"/>
          <w:szCs w:val="24"/>
        </w:rPr>
        <w:t xml:space="preserve"> é de se destacar que</w:t>
      </w:r>
      <w:r w:rsidRPr="00521DDC">
        <w:rPr>
          <w:rFonts w:cs="Calibri"/>
          <w:b/>
          <w:sz w:val="24"/>
          <w:szCs w:val="24"/>
        </w:rPr>
        <w:t xml:space="preserve"> a CAIXA não tem atribuição, dentro do Programa Minha Casa Minha Vida - </w:t>
      </w:r>
      <w:r w:rsidRPr="00B71374">
        <w:rPr>
          <w:rFonts w:cs="Calibri"/>
          <w:b/>
          <w:sz w:val="24"/>
          <w:szCs w:val="24"/>
          <w:u w:val="single"/>
        </w:rPr>
        <w:t>Entidades</w:t>
      </w:r>
      <w:r w:rsidRPr="00521DDC">
        <w:rPr>
          <w:rFonts w:cs="Calibri"/>
          <w:b/>
          <w:sz w:val="24"/>
          <w:szCs w:val="24"/>
        </w:rPr>
        <w:t xml:space="preserve">, para proceder com a contratação de outra Construtora </w:t>
      </w:r>
      <w:r>
        <w:rPr>
          <w:rFonts w:cs="Calibri"/>
          <w:b/>
          <w:sz w:val="24"/>
          <w:szCs w:val="24"/>
        </w:rPr>
        <w:t xml:space="preserve">e nem muito menos </w:t>
      </w:r>
      <w:r w:rsidRPr="00521DDC">
        <w:rPr>
          <w:rFonts w:cs="Calibri"/>
          <w:b/>
          <w:sz w:val="24"/>
          <w:szCs w:val="24"/>
        </w:rPr>
        <w:t>para retomar as obras</w:t>
      </w:r>
      <w:r>
        <w:rPr>
          <w:rFonts w:cs="Calibri"/>
          <w:b/>
          <w:sz w:val="24"/>
          <w:szCs w:val="24"/>
        </w:rPr>
        <w:t xml:space="preserve">. </w:t>
      </w:r>
      <w:r w:rsidRPr="00B71374">
        <w:rPr>
          <w:rFonts w:cs="Calibri"/>
          <w:b/>
          <w:sz w:val="24"/>
          <w:szCs w:val="24"/>
          <w:u w:val="single"/>
        </w:rPr>
        <w:t xml:space="preserve">Esta premissa, inclusive, implica na ilegitimidade da </w:t>
      </w:r>
      <w:r w:rsidR="003C3A10">
        <w:rPr>
          <w:rFonts w:cs="Calibri"/>
          <w:b/>
          <w:sz w:val="24"/>
          <w:szCs w:val="24"/>
          <w:u w:val="single"/>
        </w:rPr>
        <w:t>CAIXA</w:t>
      </w:r>
      <w:r w:rsidRPr="00B71374">
        <w:rPr>
          <w:rFonts w:cs="Calibri"/>
          <w:b/>
          <w:sz w:val="24"/>
          <w:szCs w:val="24"/>
          <w:u w:val="single"/>
        </w:rPr>
        <w:t xml:space="preserve"> para responder este ponto da ação</w:t>
      </w:r>
      <w:r w:rsidRPr="00521DDC">
        <w:rPr>
          <w:rFonts w:cs="Calibri"/>
          <w:b/>
          <w:sz w:val="24"/>
          <w:szCs w:val="24"/>
        </w:rPr>
        <w:t>.</w:t>
      </w:r>
    </w:p>
    <w:p w14:paraId="6312278A" w14:textId="77777777" w:rsidR="002246D0" w:rsidRPr="00521DDC" w:rsidRDefault="002246D0" w:rsidP="002246D0">
      <w:pPr>
        <w:spacing w:line="360" w:lineRule="auto"/>
        <w:ind w:firstLine="1701"/>
        <w:jc w:val="both"/>
        <w:rPr>
          <w:rFonts w:cs="Calibri"/>
          <w:b/>
          <w:sz w:val="24"/>
          <w:szCs w:val="24"/>
        </w:rPr>
      </w:pPr>
    </w:p>
    <w:p w14:paraId="4A83C1F5" w14:textId="77777777" w:rsidR="002246D0" w:rsidRDefault="002246D0" w:rsidP="002246D0">
      <w:pPr>
        <w:autoSpaceDE w:val="0"/>
        <w:autoSpaceDN w:val="0"/>
        <w:adjustRightInd w:val="0"/>
        <w:spacing w:line="360" w:lineRule="auto"/>
        <w:ind w:firstLine="1701"/>
        <w:jc w:val="both"/>
        <w:rPr>
          <w:rFonts w:cs="Calibri"/>
          <w:sz w:val="24"/>
          <w:szCs w:val="24"/>
        </w:rPr>
      </w:pPr>
      <w:r>
        <w:rPr>
          <w:rFonts w:cs="Calibri"/>
          <w:sz w:val="24"/>
          <w:szCs w:val="24"/>
        </w:rPr>
        <w:t xml:space="preserve">O PMCMV é disciplinado na Lei 11.977/2009 e prevê condições específicas para o PNHU (Habitação Urbana – que pode ser com recursos FAR ou com recursos FDS) e PNHR (Habitação Rural – recursos do OGU – Orçamento Geral da União). </w:t>
      </w:r>
    </w:p>
    <w:p w14:paraId="3BB4B244" w14:textId="77777777" w:rsidR="002246D0" w:rsidRDefault="002246D0" w:rsidP="002246D0">
      <w:pPr>
        <w:autoSpaceDE w:val="0"/>
        <w:autoSpaceDN w:val="0"/>
        <w:adjustRightInd w:val="0"/>
        <w:spacing w:line="360" w:lineRule="auto"/>
        <w:ind w:firstLine="1701"/>
        <w:jc w:val="both"/>
        <w:rPr>
          <w:rFonts w:cs="Calibri"/>
          <w:sz w:val="24"/>
          <w:szCs w:val="24"/>
        </w:rPr>
      </w:pPr>
    </w:p>
    <w:p w14:paraId="1E27A183" w14:textId="77777777" w:rsidR="002246D0" w:rsidRPr="00521DDC" w:rsidRDefault="002246D0" w:rsidP="002246D0">
      <w:pPr>
        <w:autoSpaceDE w:val="0"/>
        <w:autoSpaceDN w:val="0"/>
        <w:adjustRightInd w:val="0"/>
        <w:spacing w:line="360" w:lineRule="auto"/>
        <w:ind w:firstLine="1701"/>
        <w:jc w:val="both"/>
        <w:rPr>
          <w:rFonts w:cs="Calibri"/>
          <w:sz w:val="24"/>
          <w:szCs w:val="24"/>
        </w:rPr>
      </w:pPr>
      <w:r>
        <w:rPr>
          <w:rFonts w:cs="Calibri"/>
          <w:sz w:val="24"/>
          <w:szCs w:val="24"/>
        </w:rPr>
        <w:t>O</w:t>
      </w:r>
      <w:r w:rsidRPr="00521DDC">
        <w:rPr>
          <w:rFonts w:cs="Calibri"/>
          <w:sz w:val="24"/>
          <w:szCs w:val="24"/>
        </w:rPr>
        <w:t xml:space="preserve"> Programa Minha Casa, Minha Vida – </w:t>
      </w:r>
      <w:r w:rsidRPr="00B71374">
        <w:rPr>
          <w:rFonts w:cs="Calibri"/>
          <w:b/>
          <w:bCs/>
          <w:sz w:val="24"/>
          <w:szCs w:val="24"/>
          <w:u w:val="single"/>
        </w:rPr>
        <w:t>Entidades</w:t>
      </w:r>
      <w:r w:rsidRPr="00521DDC">
        <w:rPr>
          <w:rFonts w:cs="Calibri"/>
          <w:b/>
          <w:bCs/>
          <w:sz w:val="24"/>
          <w:szCs w:val="24"/>
        </w:rPr>
        <w:t xml:space="preserve"> </w:t>
      </w:r>
      <w:r w:rsidRPr="00521DDC">
        <w:rPr>
          <w:rFonts w:cs="Calibri"/>
          <w:sz w:val="24"/>
          <w:szCs w:val="24"/>
        </w:rPr>
        <w:t>(PMCMV-E)</w:t>
      </w:r>
      <w:r>
        <w:rPr>
          <w:rFonts w:cs="Calibri"/>
          <w:sz w:val="24"/>
          <w:szCs w:val="24"/>
        </w:rPr>
        <w:t xml:space="preserve"> se trata de desdobramento do programa habitacional do</w:t>
      </w:r>
      <w:r w:rsidRPr="00521DDC">
        <w:rPr>
          <w:rFonts w:cs="Calibri"/>
          <w:sz w:val="24"/>
          <w:szCs w:val="24"/>
        </w:rPr>
        <w:t xml:space="preserve"> Governo Federal, cujo gestor é o Ministério do Desenvolvimento Regional (extinto Ministério das Cidades)</w:t>
      </w:r>
      <w:r>
        <w:rPr>
          <w:rFonts w:cs="Calibri"/>
          <w:sz w:val="24"/>
          <w:szCs w:val="24"/>
        </w:rPr>
        <w:t>, que</w:t>
      </w:r>
      <w:r w:rsidRPr="00521DDC">
        <w:rPr>
          <w:rFonts w:cs="Calibri"/>
          <w:sz w:val="24"/>
          <w:szCs w:val="24"/>
        </w:rPr>
        <w:t xml:space="preserve"> tem a CAIXA como agente</w:t>
      </w:r>
      <w:r>
        <w:rPr>
          <w:rFonts w:cs="Calibri"/>
          <w:sz w:val="24"/>
          <w:szCs w:val="24"/>
        </w:rPr>
        <w:t xml:space="preserve"> operador e</w:t>
      </w:r>
      <w:r w:rsidRPr="00521DDC">
        <w:rPr>
          <w:rFonts w:cs="Calibri"/>
          <w:sz w:val="24"/>
          <w:szCs w:val="24"/>
        </w:rPr>
        <w:t xml:space="preserve"> financeiro de repasse dos recursos do Fundo de Desenvolvimento Social – FDS, conforme </w:t>
      </w:r>
      <w:r w:rsidRPr="00F624BE">
        <w:rPr>
          <w:rFonts w:cs="Calibri"/>
          <w:b/>
          <w:bCs/>
          <w:sz w:val="24"/>
          <w:szCs w:val="24"/>
          <w:u w:val="single"/>
        </w:rPr>
        <w:t xml:space="preserve">Instrução </w:t>
      </w:r>
      <w:r w:rsidRPr="00F624BE">
        <w:rPr>
          <w:rFonts w:cs="Calibri"/>
          <w:b/>
          <w:bCs/>
          <w:sz w:val="24"/>
          <w:szCs w:val="24"/>
          <w:u w:val="single"/>
        </w:rPr>
        <w:lastRenderedPageBreak/>
        <w:t>Normativa nº 12 de 07 de junho de 2018</w:t>
      </w:r>
      <w:r w:rsidRPr="00F624BE">
        <w:rPr>
          <w:rFonts w:cs="Calibri"/>
          <w:sz w:val="24"/>
          <w:szCs w:val="24"/>
        </w:rPr>
        <w:t xml:space="preserve"> do ministério das Cidades</w:t>
      </w:r>
      <w:r>
        <w:rPr>
          <w:rFonts w:cs="Calibri"/>
          <w:sz w:val="24"/>
          <w:szCs w:val="24"/>
        </w:rPr>
        <w:t>, atual MDR</w:t>
      </w:r>
      <w:r w:rsidRPr="00F624BE">
        <w:rPr>
          <w:rFonts w:cs="Calibri"/>
          <w:sz w:val="24"/>
          <w:szCs w:val="24"/>
        </w:rPr>
        <w:t xml:space="preserve">, a qual regulamenta o programa em questão. </w:t>
      </w:r>
    </w:p>
    <w:p w14:paraId="716BEB04" w14:textId="77777777" w:rsidR="002246D0" w:rsidRDefault="002246D0" w:rsidP="002246D0">
      <w:pPr>
        <w:autoSpaceDE w:val="0"/>
        <w:autoSpaceDN w:val="0"/>
        <w:adjustRightInd w:val="0"/>
        <w:spacing w:line="360" w:lineRule="auto"/>
        <w:ind w:firstLine="1701"/>
        <w:jc w:val="both"/>
        <w:rPr>
          <w:rFonts w:cs="Calibri"/>
          <w:sz w:val="24"/>
          <w:szCs w:val="24"/>
        </w:rPr>
      </w:pPr>
    </w:p>
    <w:p w14:paraId="5423DCC8" w14:textId="77777777" w:rsidR="002246D0" w:rsidRPr="00AB1B05" w:rsidRDefault="002246D0" w:rsidP="002246D0">
      <w:pPr>
        <w:autoSpaceDE w:val="0"/>
        <w:autoSpaceDN w:val="0"/>
        <w:adjustRightInd w:val="0"/>
        <w:spacing w:line="360" w:lineRule="auto"/>
        <w:ind w:firstLine="1701"/>
        <w:jc w:val="both"/>
        <w:rPr>
          <w:rStyle w:val="hgkelc"/>
          <w:rFonts w:cs="Calibri"/>
          <w:b/>
          <w:bCs/>
          <w:sz w:val="24"/>
          <w:szCs w:val="24"/>
          <w:lang w:val="pt-PT"/>
        </w:rPr>
      </w:pPr>
      <w:r w:rsidRPr="00AB1B05">
        <w:rPr>
          <w:rFonts w:cs="Calibri"/>
          <w:b/>
          <w:bCs/>
          <w:sz w:val="24"/>
          <w:szCs w:val="24"/>
        </w:rPr>
        <w:t xml:space="preserve">Trata-se de programa de </w:t>
      </w:r>
      <w:r w:rsidRPr="00AB1B05">
        <w:rPr>
          <w:rStyle w:val="hgkelc"/>
          <w:rFonts w:cs="Calibri"/>
          <w:b/>
          <w:bCs/>
          <w:sz w:val="24"/>
          <w:szCs w:val="24"/>
          <w:lang w:val="pt-PT"/>
        </w:rPr>
        <w:t xml:space="preserve">concessão de financiamentos a beneficiários organizados de forma associativa por uma Entidade Organizadora (associações, cooperativas, sindicatos e outros), com recursos provenientes do </w:t>
      </w:r>
      <w:r>
        <w:rPr>
          <w:rStyle w:val="hgkelc"/>
          <w:rFonts w:cs="Calibri"/>
          <w:b/>
          <w:bCs/>
          <w:sz w:val="24"/>
          <w:szCs w:val="24"/>
          <w:lang w:val="pt-PT"/>
        </w:rPr>
        <w:t>FDS</w:t>
      </w:r>
      <w:r w:rsidRPr="00AB1B05">
        <w:rPr>
          <w:rStyle w:val="hgkelc"/>
          <w:rFonts w:cs="Calibri"/>
          <w:b/>
          <w:bCs/>
          <w:sz w:val="24"/>
          <w:szCs w:val="24"/>
          <w:lang w:val="pt-PT"/>
        </w:rPr>
        <w:t>:</w:t>
      </w:r>
    </w:p>
    <w:p w14:paraId="7ED9C6E2" w14:textId="77777777" w:rsidR="002246D0" w:rsidRDefault="002246D0" w:rsidP="002246D0">
      <w:pPr>
        <w:autoSpaceDE w:val="0"/>
        <w:autoSpaceDN w:val="0"/>
        <w:adjustRightInd w:val="0"/>
        <w:spacing w:line="360" w:lineRule="auto"/>
        <w:ind w:firstLine="1701"/>
        <w:jc w:val="both"/>
        <w:rPr>
          <w:rStyle w:val="hgkelc"/>
          <w:rFonts w:cs="Calibri"/>
          <w:b/>
          <w:bCs/>
          <w:sz w:val="24"/>
          <w:szCs w:val="24"/>
          <w:lang w:val="pt-PT"/>
        </w:rPr>
      </w:pPr>
    </w:p>
    <w:p w14:paraId="46C4D293" w14:textId="77777777" w:rsidR="003C3A10" w:rsidRDefault="003C3A10" w:rsidP="002246D0">
      <w:pPr>
        <w:autoSpaceDE w:val="0"/>
        <w:autoSpaceDN w:val="0"/>
        <w:adjustRightInd w:val="0"/>
        <w:spacing w:line="360" w:lineRule="auto"/>
        <w:ind w:firstLine="1701"/>
        <w:jc w:val="both"/>
        <w:rPr>
          <w:rStyle w:val="hgkelc"/>
          <w:rFonts w:cs="Calibri"/>
          <w:b/>
          <w:bCs/>
          <w:sz w:val="24"/>
          <w:szCs w:val="24"/>
          <w:lang w:val="pt-PT"/>
        </w:rPr>
      </w:pPr>
    </w:p>
    <w:p w14:paraId="2F4257A6" w14:textId="77777777" w:rsidR="003C3A10" w:rsidRDefault="003C3A10" w:rsidP="002246D0">
      <w:pPr>
        <w:autoSpaceDE w:val="0"/>
        <w:autoSpaceDN w:val="0"/>
        <w:adjustRightInd w:val="0"/>
        <w:spacing w:line="360" w:lineRule="auto"/>
        <w:ind w:firstLine="1701"/>
        <w:jc w:val="both"/>
        <w:rPr>
          <w:rStyle w:val="hgkelc"/>
          <w:rFonts w:cs="Calibri"/>
          <w:b/>
          <w:bCs/>
          <w:sz w:val="24"/>
          <w:szCs w:val="24"/>
          <w:lang w:val="pt-PT"/>
        </w:rPr>
      </w:pPr>
    </w:p>
    <w:p w14:paraId="0D869735" w14:textId="77777777" w:rsidR="003C3A10" w:rsidRDefault="003C3A10" w:rsidP="002246D0">
      <w:pPr>
        <w:autoSpaceDE w:val="0"/>
        <w:autoSpaceDN w:val="0"/>
        <w:adjustRightInd w:val="0"/>
        <w:spacing w:line="360" w:lineRule="auto"/>
        <w:ind w:firstLine="1701"/>
        <w:jc w:val="both"/>
        <w:rPr>
          <w:rStyle w:val="hgkelc"/>
          <w:rFonts w:cs="Calibri"/>
          <w:b/>
          <w:bCs/>
          <w:sz w:val="24"/>
          <w:szCs w:val="24"/>
          <w:lang w:val="pt-PT"/>
        </w:rPr>
      </w:pPr>
    </w:p>
    <w:p w14:paraId="262B05FD" w14:textId="77777777" w:rsidR="003C3A10" w:rsidRPr="00AB1B05" w:rsidRDefault="003C3A10" w:rsidP="002246D0">
      <w:pPr>
        <w:autoSpaceDE w:val="0"/>
        <w:autoSpaceDN w:val="0"/>
        <w:adjustRightInd w:val="0"/>
        <w:spacing w:line="360" w:lineRule="auto"/>
        <w:ind w:firstLine="1701"/>
        <w:jc w:val="both"/>
        <w:rPr>
          <w:rStyle w:val="hgkelc"/>
          <w:rFonts w:cs="Calibri"/>
          <w:b/>
          <w:bCs/>
          <w:sz w:val="24"/>
          <w:szCs w:val="24"/>
          <w:lang w:val="pt-PT"/>
        </w:rPr>
      </w:pPr>
    </w:p>
    <w:p w14:paraId="03AFD154" w14:textId="77777777" w:rsidR="002246D0" w:rsidRPr="00FD4F22" w:rsidRDefault="002246D0" w:rsidP="002246D0">
      <w:pPr>
        <w:pStyle w:val="NormalWeb"/>
        <w:pBdr>
          <w:top w:val="single" w:sz="4" w:space="1" w:color="auto"/>
          <w:left w:val="single" w:sz="4" w:space="4" w:color="auto"/>
          <w:bottom w:val="single" w:sz="4" w:space="1" w:color="auto"/>
          <w:right w:val="single" w:sz="4" w:space="4" w:color="auto"/>
        </w:pBdr>
        <w:spacing w:line="360" w:lineRule="auto"/>
        <w:ind w:left="1701"/>
        <w:jc w:val="both"/>
        <w:rPr>
          <w:rFonts w:ascii="Calibri" w:hAnsi="Calibri" w:cs="Calibri"/>
          <w:b/>
          <w:bCs/>
          <w:sz w:val="22"/>
          <w:szCs w:val="22"/>
        </w:rPr>
      </w:pPr>
      <w:r w:rsidRPr="00FD4F22">
        <w:rPr>
          <w:rFonts w:ascii="Calibri" w:hAnsi="Calibri" w:cs="Calibri"/>
          <w:b/>
          <w:bCs/>
          <w:sz w:val="22"/>
          <w:szCs w:val="22"/>
        </w:rPr>
        <w:t>IN nº 12/2018:</w:t>
      </w:r>
    </w:p>
    <w:p w14:paraId="0AFE357F" w14:textId="77777777" w:rsidR="002246D0" w:rsidRPr="00FD4F22" w:rsidRDefault="002246D0" w:rsidP="002246D0">
      <w:pPr>
        <w:pStyle w:val="NormalWeb"/>
        <w:pBdr>
          <w:top w:val="single" w:sz="4" w:space="1" w:color="auto"/>
          <w:left w:val="single" w:sz="4" w:space="4" w:color="auto"/>
          <w:bottom w:val="single" w:sz="4" w:space="1" w:color="auto"/>
          <w:right w:val="single" w:sz="4" w:space="4" w:color="auto"/>
        </w:pBdr>
        <w:spacing w:line="360" w:lineRule="auto"/>
        <w:ind w:left="1701"/>
        <w:jc w:val="both"/>
        <w:rPr>
          <w:rFonts w:ascii="Calibri" w:hAnsi="Calibri" w:cs="Calibri"/>
          <w:b/>
          <w:bCs/>
          <w:sz w:val="22"/>
          <w:szCs w:val="22"/>
        </w:rPr>
      </w:pPr>
      <w:r w:rsidRPr="00FD4F22">
        <w:rPr>
          <w:rFonts w:ascii="Calibri" w:hAnsi="Calibri" w:cs="Calibri"/>
          <w:b/>
          <w:bCs/>
          <w:sz w:val="22"/>
          <w:szCs w:val="22"/>
        </w:rPr>
        <w:t>6. ORIGEM DOS RECURSOS E COMPOSIÇÃO DO INVESTIMENTO</w:t>
      </w:r>
    </w:p>
    <w:p w14:paraId="55570288" w14:textId="77777777" w:rsidR="002246D0" w:rsidRPr="00FD4F22" w:rsidRDefault="002246D0" w:rsidP="002246D0">
      <w:pPr>
        <w:pStyle w:val="NormalWeb"/>
        <w:pBdr>
          <w:top w:val="single" w:sz="4" w:space="1" w:color="auto"/>
          <w:left w:val="single" w:sz="4" w:space="4" w:color="auto"/>
          <w:bottom w:val="single" w:sz="4" w:space="1" w:color="auto"/>
          <w:right w:val="single" w:sz="4" w:space="4" w:color="auto"/>
        </w:pBdr>
        <w:spacing w:line="360" w:lineRule="auto"/>
        <w:ind w:left="1701"/>
        <w:jc w:val="both"/>
        <w:rPr>
          <w:rFonts w:ascii="Calibri" w:hAnsi="Calibri" w:cs="Calibri"/>
          <w:b/>
          <w:bCs/>
          <w:sz w:val="22"/>
          <w:szCs w:val="22"/>
        </w:rPr>
      </w:pPr>
      <w:r w:rsidRPr="00FD4F22">
        <w:rPr>
          <w:rFonts w:ascii="Calibri" w:hAnsi="Calibri" w:cs="Calibri"/>
          <w:b/>
          <w:bCs/>
          <w:sz w:val="22"/>
          <w:szCs w:val="22"/>
        </w:rPr>
        <w:t>6.1 As operações do PMCMV-E utilizarão recursos provenientes do OGU, transferidos ao FDS, conforme disposto no art. 2º, inciso II, da Lei nº 11.977, de 7 de julho de 2009.</w:t>
      </w:r>
    </w:p>
    <w:p w14:paraId="0608FA7E" w14:textId="77777777" w:rsidR="002246D0" w:rsidRPr="00F624BE" w:rsidRDefault="002246D0" w:rsidP="002246D0">
      <w:pPr>
        <w:autoSpaceDE w:val="0"/>
        <w:autoSpaceDN w:val="0"/>
        <w:adjustRightInd w:val="0"/>
        <w:spacing w:line="360" w:lineRule="auto"/>
        <w:ind w:firstLine="1701"/>
        <w:jc w:val="both"/>
        <w:rPr>
          <w:rFonts w:cs="Calibri"/>
          <w:b/>
          <w:bCs/>
          <w:sz w:val="24"/>
          <w:szCs w:val="24"/>
        </w:rPr>
      </w:pPr>
    </w:p>
    <w:p w14:paraId="217E7A82" w14:textId="77777777" w:rsidR="002246D0" w:rsidRDefault="002246D0" w:rsidP="002246D0">
      <w:pPr>
        <w:autoSpaceDE w:val="0"/>
        <w:autoSpaceDN w:val="0"/>
        <w:adjustRightInd w:val="0"/>
        <w:spacing w:line="360" w:lineRule="auto"/>
        <w:ind w:firstLine="1701"/>
        <w:jc w:val="both"/>
        <w:rPr>
          <w:rFonts w:cs="Calibri"/>
          <w:b/>
          <w:bCs/>
          <w:sz w:val="24"/>
          <w:szCs w:val="24"/>
        </w:rPr>
      </w:pPr>
      <w:r w:rsidRPr="00521DDC">
        <w:rPr>
          <w:rFonts w:cs="Calibri"/>
          <w:sz w:val="24"/>
          <w:szCs w:val="24"/>
        </w:rPr>
        <w:t>A CAIXA</w:t>
      </w:r>
      <w:r>
        <w:rPr>
          <w:rFonts w:cs="Calibri"/>
          <w:sz w:val="24"/>
          <w:szCs w:val="24"/>
        </w:rPr>
        <w:t>,</w:t>
      </w:r>
      <w:r w:rsidRPr="00521DDC">
        <w:rPr>
          <w:rFonts w:cs="Calibri"/>
          <w:sz w:val="24"/>
          <w:szCs w:val="24"/>
        </w:rPr>
        <w:t xml:space="preserve"> </w:t>
      </w:r>
      <w:r>
        <w:rPr>
          <w:rFonts w:cs="Calibri"/>
          <w:sz w:val="24"/>
          <w:szCs w:val="24"/>
        </w:rPr>
        <w:t xml:space="preserve">quando atua </w:t>
      </w:r>
      <w:r w:rsidRPr="00521DDC">
        <w:rPr>
          <w:rFonts w:cs="Calibri"/>
          <w:sz w:val="24"/>
          <w:szCs w:val="24"/>
        </w:rPr>
        <w:t>como agente financeiro</w:t>
      </w:r>
      <w:r>
        <w:rPr>
          <w:rFonts w:cs="Calibri"/>
          <w:sz w:val="24"/>
          <w:szCs w:val="24"/>
        </w:rPr>
        <w:t>,</w:t>
      </w:r>
      <w:r w:rsidRPr="00521DDC">
        <w:rPr>
          <w:rFonts w:cs="Calibri"/>
          <w:sz w:val="24"/>
          <w:szCs w:val="24"/>
        </w:rPr>
        <w:t xml:space="preserve"> apenas recepciona das Entidades Organizadoras interessadas as documentações para enquadramento de propostas de construção das casas e posterior seleção </w:t>
      </w:r>
      <w:r w:rsidRPr="00521DDC">
        <w:rPr>
          <w:rFonts w:cs="Calibri"/>
          <w:b/>
          <w:bCs/>
          <w:sz w:val="24"/>
          <w:szCs w:val="24"/>
        </w:rPr>
        <w:t xml:space="preserve">pelo Ministério do Desenvolvimento Regional. </w:t>
      </w:r>
    </w:p>
    <w:p w14:paraId="0C2E92B0" w14:textId="77777777" w:rsidR="002246D0" w:rsidRDefault="002246D0" w:rsidP="002246D0">
      <w:pPr>
        <w:autoSpaceDE w:val="0"/>
        <w:autoSpaceDN w:val="0"/>
        <w:adjustRightInd w:val="0"/>
        <w:spacing w:line="360" w:lineRule="auto"/>
        <w:ind w:firstLine="1701"/>
        <w:jc w:val="both"/>
        <w:rPr>
          <w:rFonts w:cs="Calibri"/>
          <w:b/>
          <w:bCs/>
          <w:sz w:val="24"/>
          <w:szCs w:val="24"/>
        </w:rPr>
      </w:pPr>
    </w:p>
    <w:p w14:paraId="71BE2C06" w14:textId="77777777" w:rsidR="002246D0" w:rsidRDefault="002246D0" w:rsidP="002246D0">
      <w:pPr>
        <w:autoSpaceDE w:val="0"/>
        <w:autoSpaceDN w:val="0"/>
        <w:adjustRightInd w:val="0"/>
        <w:spacing w:line="360" w:lineRule="auto"/>
        <w:ind w:firstLine="1701"/>
        <w:jc w:val="both"/>
        <w:rPr>
          <w:rFonts w:cs="Calibri"/>
          <w:b/>
          <w:bCs/>
          <w:sz w:val="24"/>
          <w:szCs w:val="24"/>
        </w:rPr>
      </w:pPr>
      <w:r>
        <w:rPr>
          <w:rFonts w:cs="Calibri"/>
          <w:b/>
          <w:bCs/>
          <w:sz w:val="24"/>
          <w:szCs w:val="24"/>
        </w:rPr>
        <w:t xml:space="preserve">Eis aqui o primeiro ponto a se considerar: é a União, através do MDR, que aprova a proposta apresentada </w:t>
      </w:r>
      <w:r w:rsidRPr="00FD4F22">
        <w:rPr>
          <w:rFonts w:cs="Calibri"/>
          <w:b/>
          <w:bCs/>
          <w:sz w:val="24"/>
          <w:szCs w:val="24"/>
          <w:u w:val="single"/>
        </w:rPr>
        <w:t>diretamente pela EO</w:t>
      </w:r>
      <w:r>
        <w:rPr>
          <w:rFonts w:cs="Calibri"/>
          <w:b/>
          <w:bCs/>
          <w:sz w:val="24"/>
          <w:szCs w:val="24"/>
        </w:rPr>
        <w:t xml:space="preserve">. Nesse sentido, vale ressaltar o normativo interno do produto, HH155: </w:t>
      </w:r>
    </w:p>
    <w:p w14:paraId="27ABC3F7" w14:textId="77777777" w:rsidR="002246D0" w:rsidRDefault="002246D0" w:rsidP="002246D0">
      <w:pPr>
        <w:autoSpaceDE w:val="0"/>
        <w:autoSpaceDN w:val="0"/>
        <w:adjustRightInd w:val="0"/>
        <w:spacing w:line="360" w:lineRule="auto"/>
        <w:ind w:firstLine="1701"/>
        <w:jc w:val="both"/>
        <w:rPr>
          <w:rFonts w:cs="Calibri"/>
          <w:b/>
          <w:bCs/>
          <w:sz w:val="24"/>
          <w:szCs w:val="24"/>
        </w:rPr>
      </w:pPr>
    </w:p>
    <w:p w14:paraId="03898FDC" w14:textId="77777777" w:rsidR="002246D0" w:rsidRPr="009B2A7D" w:rsidRDefault="002246D0" w:rsidP="002246D0">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701"/>
        <w:jc w:val="both"/>
        <w:rPr>
          <w:rFonts w:cs="Calibri"/>
        </w:rPr>
      </w:pPr>
      <w:r w:rsidRPr="009B2A7D">
        <w:rPr>
          <w:rFonts w:cs="Calibri"/>
        </w:rPr>
        <w:t xml:space="preserve">3.1.1.2.2 Após finalização do processo de enquadramento e análise técnica e de viabilidade da proposta, </w:t>
      </w:r>
      <w:proofErr w:type="gramStart"/>
      <w:r w:rsidRPr="009B2A7D">
        <w:rPr>
          <w:rFonts w:cs="Calibri"/>
        </w:rPr>
        <w:t>conforme Apensado</w:t>
      </w:r>
      <w:proofErr w:type="gramEnd"/>
      <w:r w:rsidRPr="009B2A7D">
        <w:rPr>
          <w:rFonts w:cs="Calibri"/>
        </w:rPr>
        <w:t xml:space="preserve"> B – SELEÇÃO DEPROPOSTAS PMCMV-EFDS, as mesmas são hierarquizadas pelo MDR, com aplicação de critérios previamente definidos na Portaria vigente.</w:t>
      </w:r>
    </w:p>
    <w:p w14:paraId="4F609614" w14:textId="77777777" w:rsidR="002246D0" w:rsidRPr="009B2A7D" w:rsidRDefault="002246D0" w:rsidP="002246D0">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701"/>
        <w:jc w:val="both"/>
        <w:rPr>
          <w:rFonts w:cs="Calibri"/>
        </w:rPr>
      </w:pPr>
    </w:p>
    <w:p w14:paraId="476A6F15" w14:textId="77777777" w:rsidR="002246D0" w:rsidRPr="00E42799" w:rsidRDefault="002246D0" w:rsidP="002246D0">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701"/>
        <w:jc w:val="both"/>
        <w:rPr>
          <w:rFonts w:cs="Calibri"/>
          <w:b/>
          <w:bCs/>
        </w:rPr>
      </w:pPr>
      <w:r w:rsidRPr="009B2A7D">
        <w:rPr>
          <w:rFonts w:cs="Calibri"/>
        </w:rPr>
        <w:t>3.1.1.6 O MDR divulgará as propostas selecionadas, que passam à fase de contratação, no prazo limite disposto na publicação de ato normativo específico, sob pena de cancelamento da seleção da operação.</w:t>
      </w:r>
    </w:p>
    <w:p w14:paraId="59344F18" w14:textId="77777777" w:rsidR="002246D0" w:rsidRPr="00521DDC" w:rsidRDefault="002246D0" w:rsidP="002246D0">
      <w:pPr>
        <w:autoSpaceDE w:val="0"/>
        <w:autoSpaceDN w:val="0"/>
        <w:adjustRightInd w:val="0"/>
        <w:spacing w:line="360" w:lineRule="auto"/>
        <w:ind w:firstLine="1701"/>
        <w:jc w:val="both"/>
        <w:rPr>
          <w:rFonts w:cs="Calibri"/>
          <w:sz w:val="24"/>
          <w:szCs w:val="24"/>
        </w:rPr>
      </w:pPr>
    </w:p>
    <w:p w14:paraId="46CB3D16" w14:textId="77777777" w:rsidR="002246D0" w:rsidRDefault="002246D0" w:rsidP="002246D0">
      <w:pPr>
        <w:autoSpaceDE w:val="0"/>
        <w:autoSpaceDN w:val="0"/>
        <w:adjustRightInd w:val="0"/>
        <w:spacing w:line="360" w:lineRule="auto"/>
        <w:ind w:firstLine="1701"/>
        <w:jc w:val="both"/>
        <w:rPr>
          <w:rFonts w:cs="Calibri"/>
          <w:b/>
          <w:bCs/>
          <w:sz w:val="24"/>
          <w:szCs w:val="24"/>
        </w:rPr>
      </w:pPr>
      <w:r w:rsidRPr="002C2F40">
        <w:rPr>
          <w:rFonts w:cs="Calibri"/>
          <w:b/>
          <w:bCs/>
          <w:sz w:val="24"/>
          <w:szCs w:val="24"/>
        </w:rPr>
        <w:t>Não compete à CAIXA a seleção das propostas ou determinar a construção</w:t>
      </w:r>
      <w:r>
        <w:rPr>
          <w:rFonts w:cs="Calibri"/>
          <w:b/>
          <w:bCs/>
          <w:sz w:val="24"/>
          <w:szCs w:val="24"/>
        </w:rPr>
        <w:t xml:space="preserve"> de empreendimento</w:t>
      </w:r>
      <w:r w:rsidRPr="002C2F40">
        <w:rPr>
          <w:rFonts w:cs="Calibri"/>
          <w:b/>
          <w:bCs/>
          <w:sz w:val="24"/>
          <w:szCs w:val="24"/>
        </w:rPr>
        <w:t xml:space="preserve"> em qualquer Município</w:t>
      </w:r>
      <w:r w:rsidRPr="00521DDC">
        <w:rPr>
          <w:rFonts w:cs="Calibri"/>
          <w:sz w:val="24"/>
          <w:szCs w:val="24"/>
        </w:rPr>
        <w:t xml:space="preserve">. Estas propostas são apresentadas juntamente com o projeto da edificação e infraestrutura, se for o caso, devidamente respaldados e assinados por um responsável técnico (arquiteto ou engenheiro civil) contratado pela Entidade Organizadora e </w:t>
      </w:r>
      <w:r w:rsidRPr="00CF5000">
        <w:rPr>
          <w:rFonts w:cs="Calibri"/>
          <w:b/>
          <w:bCs/>
          <w:sz w:val="24"/>
          <w:szCs w:val="24"/>
        </w:rPr>
        <w:t>são aprovadas</w:t>
      </w:r>
      <w:r w:rsidRPr="00521DDC">
        <w:rPr>
          <w:rFonts w:cs="Calibri"/>
          <w:sz w:val="24"/>
          <w:szCs w:val="24"/>
        </w:rPr>
        <w:t xml:space="preserve"> </w:t>
      </w:r>
      <w:r w:rsidRPr="00521DDC">
        <w:rPr>
          <w:rFonts w:cs="Calibri"/>
          <w:b/>
          <w:bCs/>
          <w:sz w:val="24"/>
          <w:szCs w:val="24"/>
        </w:rPr>
        <w:t>pelo Ministério do Desenvolvimento Regional</w:t>
      </w:r>
      <w:r>
        <w:rPr>
          <w:rFonts w:cs="Calibri"/>
          <w:b/>
          <w:bCs/>
          <w:sz w:val="24"/>
          <w:szCs w:val="24"/>
        </w:rPr>
        <w:t xml:space="preserve"> (antigo Ministério das Cidades)</w:t>
      </w:r>
      <w:r w:rsidRPr="00521DDC">
        <w:rPr>
          <w:rFonts w:cs="Calibri"/>
          <w:b/>
          <w:bCs/>
          <w:sz w:val="24"/>
          <w:szCs w:val="24"/>
        </w:rPr>
        <w:t>.</w:t>
      </w:r>
    </w:p>
    <w:p w14:paraId="7DF34802" w14:textId="77777777" w:rsidR="002246D0" w:rsidRDefault="002246D0" w:rsidP="002246D0">
      <w:pPr>
        <w:autoSpaceDE w:val="0"/>
        <w:autoSpaceDN w:val="0"/>
        <w:adjustRightInd w:val="0"/>
        <w:spacing w:line="360" w:lineRule="auto"/>
        <w:ind w:firstLine="1701"/>
        <w:jc w:val="both"/>
        <w:rPr>
          <w:rFonts w:cs="Calibri"/>
          <w:sz w:val="24"/>
          <w:szCs w:val="24"/>
        </w:rPr>
      </w:pPr>
      <w:r>
        <w:rPr>
          <w:rFonts w:cs="Calibri"/>
          <w:sz w:val="24"/>
          <w:szCs w:val="24"/>
        </w:rPr>
        <w:t>Como visto, no PMCMV – Entidades, a CAIXA atua em duas funções – item 1 da IN nº12: como Agente Operador e Agente Financeiro.</w:t>
      </w:r>
    </w:p>
    <w:p w14:paraId="791E7ED1" w14:textId="77777777" w:rsidR="002246D0"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Pr>
          <w:rFonts w:cs="Calibri"/>
        </w:rPr>
        <w:t>IN nº 12/2018:</w:t>
      </w:r>
    </w:p>
    <w:p w14:paraId="21F40F24" w14:textId="77777777" w:rsidR="002246D0" w:rsidRPr="00AB1B05"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1. PARTICIPANTES E ATRIBUIÇÕES</w:t>
      </w:r>
    </w:p>
    <w:p w14:paraId="2AF58B41" w14:textId="77777777" w:rsidR="002246D0" w:rsidRPr="00AB1B05"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1.1 Os participantes do Programa Minha Casa, Minha Vida Entidades – PMCMV-E e suas respectivas atribuições encontram-se definidos na forma a seguir especificada:</w:t>
      </w:r>
    </w:p>
    <w:p w14:paraId="28EC18C7" w14:textId="77777777" w:rsidR="002246D0" w:rsidRPr="00AB1B05"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 xml:space="preserve">1.a) Órgão Gestor – Ministério das Cidades/Secretaria Nacional de Habitação – </w:t>
      </w:r>
      <w:proofErr w:type="spellStart"/>
      <w:r w:rsidRPr="00AB1B05">
        <w:rPr>
          <w:rFonts w:cs="Calibri"/>
        </w:rPr>
        <w:t>MCidades</w:t>
      </w:r>
      <w:proofErr w:type="spellEnd"/>
      <w:r w:rsidRPr="00AB1B05">
        <w:rPr>
          <w:rFonts w:cs="Calibri"/>
        </w:rPr>
        <w:t xml:space="preserve">/SNH: tem a atribuição de definir as diretrizes, prioridades, </w:t>
      </w:r>
      <w:r w:rsidRPr="00AB1B05">
        <w:rPr>
          <w:rFonts w:cs="Calibri"/>
          <w:b/>
          <w:bCs/>
          <w:u w:val="single"/>
        </w:rPr>
        <w:t>sanções</w:t>
      </w:r>
      <w:r w:rsidRPr="00AB1B05">
        <w:rPr>
          <w:rFonts w:cs="Calibri"/>
        </w:rPr>
        <w:t>, estabelecer critérios, procedimentos e parâmetros básicos para análise, hierarquização, seleção e contratação das propostas, bem como acompanhar e avaliar as ações desenvolvidas para implementação do Programa e repasse de recurso do Orçamento Geral da União – OGU ao Fundo de Desenvolvimento Social – FDS.</w:t>
      </w:r>
    </w:p>
    <w:p w14:paraId="047F4DCF" w14:textId="77777777" w:rsidR="002246D0" w:rsidRPr="00AB1B05"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b/>
          <w:bCs/>
          <w:u w:val="single"/>
        </w:rPr>
      </w:pPr>
      <w:r w:rsidRPr="00AB1B05">
        <w:rPr>
          <w:rFonts w:cs="Calibri"/>
        </w:rPr>
        <w:t xml:space="preserve">1.b) Agente Operador – Caixa Econômica Federal – CEF: responsável por alocar o orçamento ao Agente Financeiro de acordo com a distribuição orçamentária por região geográfica, definir e orientar acerca dos procedimentos operacionais a serem observados pelo Agente Financeiro na execução do Programa, enviar propostas de intervenção habitacional, consideradas enquadradas para fins de seleção pelo Órgão Gestor, remunerar o Agente Financeiro pelas atividades exercidas no âmbito das operações, observados os valores fixados em Portaria Interministerial específica, apurar responsabilidade por eventuais falhas na atuação do agente financeiro, </w:t>
      </w:r>
      <w:r w:rsidRPr="00AB1B05">
        <w:rPr>
          <w:rFonts w:cs="Calibri"/>
          <w:b/>
          <w:bCs/>
          <w:u w:val="single"/>
        </w:rPr>
        <w:t xml:space="preserve">disponibilizar mensalmente ao </w:t>
      </w:r>
      <w:proofErr w:type="spellStart"/>
      <w:r w:rsidRPr="00AB1B05">
        <w:rPr>
          <w:rFonts w:cs="Calibri"/>
          <w:b/>
          <w:bCs/>
          <w:u w:val="single"/>
        </w:rPr>
        <w:t>MCidades</w:t>
      </w:r>
      <w:proofErr w:type="spellEnd"/>
      <w:r w:rsidRPr="00AB1B05">
        <w:rPr>
          <w:rFonts w:cs="Calibri"/>
          <w:b/>
          <w:bCs/>
          <w:u w:val="single"/>
        </w:rPr>
        <w:t xml:space="preserve"> as informações dispostas nesta Instrução Normativa necessárias ao monitoramento e avaliação do Programa e por acompanhar e monitorar as operações contratadas pelo Agente Financeiro.</w:t>
      </w:r>
    </w:p>
    <w:p w14:paraId="22D8A491" w14:textId="77777777" w:rsidR="002246D0" w:rsidRPr="00AB1B05"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 xml:space="preserve">1.c) Agente Financeiro – Caixa Econômica Federal – CEF: Responsável por executar procedimentos de habilitação das EO para atuação no PMCMV-E, recepcionar e analisar documentação para enquadramento de propostas e posterior seleção pelo Órgão Gestor, analisar as propostas de intervenção habitacional selecionadas pelo Órgão Gestor sob os aspectos jurídico, técnico e cadastral e contratar as propostas que demonstrem viabilidade técnico-econômica, receber e verificar Anotação de Responsabilidade Técnica de Obras e Serviços – ART ou Registro de Responsabilidade Técnica – RRT, monitorar a execução dos </w:t>
      </w:r>
      <w:r w:rsidRPr="00AB1B05">
        <w:rPr>
          <w:rFonts w:cs="Calibri"/>
        </w:rPr>
        <w:lastRenderedPageBreak/>
        <w:t xml:space="preserve">contratos incluindo as atividades de trabalho social, efetuar a liberação de recursos, acompanhar atividades relativas à entrega dos empreendimentos, </w:t>
      </w:r>
      <w:r w:rsidRPr="00AB1B05">
        <w:rPr>
          <w:rFonts w:cs="Calibri"/>
          <w:b/>
          <w:bCs/>
          <w:u w:val="single"/>
        </w:rPr>
        <w:t>encaminhar providências para tratamento de empreendimentos frustrados,</w:t>
      </w:r>
      <w:r w:rsidRPr="00AB1B05">
        <w:rPr>
          <w:rFonts w:cs="Calibri"/>
        </w:rPr>
        <w:t xml:space="preserve"> executar atividades de manutenção contratual pós-entrega incluindo a cobrança das prestações junto aos beneficiários e repasse das mesmas ao FDS, identificar a ocorrência de desvios de finalidade das unidades habitacionais entregues e adotar providências quando cabível e prestar as informações solicitadas pelo Agente Operador, e efetuar chamamento público como forma de seleção de Entidade Organizadora, quando necessário.</w:t>
      </w:r>
    </w:p>
    <w:p w14:paraId="6C2E0226" w14:textId="77777777" w:rsidR="002246D0" w:rsidRPr="009B2A7D" w:rsidRDefault="002246D0" w:rsidP="002246D0">
      <w:pPr>
        <w:autoSpaceDE w:val="0"/>
        <w:autoSpaceDN w:val="0"/>
        <w:adjustRightInd w:val="0"/>
        <w:spacing w:line="360" w:lineRule="auto"/>
        <w:ind w:firstLine="1701"/>
        <w:jc w:val="both"/>
        <w:rPr>
          <w:rFonts w:cs="Calibri"/>
          <w:b/>
          <w:bCs/>
          <w:sz w:val="24"/>
          <w:szCs w:val="24"/>
          <w:u w:val="single"/>
        </w:rPr>
      </w:pPr>
      <w:r w:rsidRPr="00521DDC">
        <w:rPr>
          <w:rFonts w:cs="Calibri"/>
          <w:sz w:val="24"/>
          <w:szCs w:val="24"/>
        </w:rPr>
        <w:t xml:space="preserve">Uma vez aprovado o projeto pelo MDR, </w:t>
      </w:r>
      <w:r>
        <w:rPr>
          <w:rFonts w:cs="Calibri"/>
          <w:sz w:val="24"/>
          <w:szCs w:val="24"/>
        </w:rPr>
        <w:t>a CAIXA atesta</w:t>
      </w:r>
      <w:r w:rsidRPr="00521DDC">
        <w:rPr>
          <w:rFonts w:cs="Calibri"/>
          <w:sz w:val="24"/>
          <w:szCs w:val="24"/>
        </w:rPr>
        <w:t xml:space="preserve"> </w:t>
      </w:r>
      <w:r>
        <w:rPr>
          <w:rFonts w:cs="Calibri"/>
          <w:sz w:val="24"/>
          <w:szCs w:val="24"/>
        </w:rPr>
        <w:t>a</w:t>
      </w:r>
      <w:r w:rsidRPr="00521DDC">
        <w:rPr>
          <w:rFonts w:cs="Calibri"/>
          <w:sz w:val="24"/>
          <w:szCs w:val="24"/>
        </w:rPr>
        <w:t xml:space="preserve"> evolução destas obras para proceder aos desembolsos dos recursos de forma </w:t>
      </w:r>
      <w:r>
        <w:rPr>
          <w:rFonts w:cs="Calibri"/>
          <w:sz w:val="24"/>
          <w:szCs w:val="24"/>
        </w:rPr>
        <w:t>proporcional e, em caso de empreendimento frustrado, comunica a situação ao órgão gestor</w:t>
      </w:r>
      <w:r w:rsidRPr="00521DDC">
        <w:rPr>
          <w:rFonts w:cs="Calibri"/>
          <w:sz w:val="24"/>
          <w:szCs w:val="24"/>
        </w:rPr>
        <w:t xml:space="preserve">. Ressalte-se que </w:t>
      </w:r>
      <w:r w:rsidRPr="00FD4F22">
        <w:rPr>
          <w:rFonts w:cs="Calibri"/>
          <w:b/>
          <w:bCs/>
          <w:sz w:val="24"/>
          <w:szCs w:val="24"/>
          <w:u w:val="single"/>
        </w:rPr>
        <w:t>não é responsabilidade do agente financeiro a fiscalização da qualidade destas obras</w:t>
      </w:r>
      <w:r>
        <w:rPr>
          <w:rFonts w:cs="Calibri"/>
          <w:b/>
          <w:bCs/>
          <w:sz w:val="24"/>
          <w:szCs w:val="24"/>
          <w:u w:val="single"/>
        </w:rPr>
        <w:t xml:space="preserve"> nem qualquer responsabilidade por </w:t>
      </w:r>
      <w:r w:rsidRPr="009B2A7D">
        <w:rPr>
          <w:rFonts w:cs="Calibri"/>
          <w:b/>
          <w:bCs/>
          <w:sz w:val="24"/>
          <w:szCs w:val="24"/>
          <w:u w:val="single"/>
        </w:rPr>
        <w:t>lucros cessantes por atraso de obra, além de danos material e moral.</w:t>
      </w:r>
    </w:p>
    <w:p w14:paraId="3C1563D7" w14:textId="77777777" w:rsidR="002246D0" w:rsidRPr="00FD4F22" w:rsidRDefault="002246D0" w:rsidP="002246D0">
      <w:pPr>
        <w:autoSpaceDE w:val="0"/>
        <w:autoSpaceDN w:val="0"/>
        <w:adjustRightInd w:val="0"/>
        <w:spacing w:line="360" w:lineRule="auto"/>
        <w:ind w:firstLine="1701"/>
        <w:jc w:val="both"/>
        <w:rPr>
          <w:rFonts w:cs="Calibri"/>
          <w:b/>
          <w:bCs/>
          <w:sz w:val="24"/>
          <w:szCs w:val="24"/>
          <w:u w:val="single"/>
        </w:rPr>
      </w:pPr>
    </w:p>
    <w:p w14:paraId="1BA408A6" w14:textId="77777777" w:rsidR="002246D0" w:rsidRDefault="002246D0" w:rsidP="002246D0">
      <w:pPr>
        <w:autoSpaceDE w:val="0"/>
        <w:autoSpaceDN w:val="0"/>
        <w:adjustRightInd w:val="0"/>
        <w:spacing w:line="360" w:lineRule="auto"/>
        <w:ind w:firstLine="1701"/>
        <w:jc w:val="both"/>
        <w:rPr>
          <w:rFonts w:cs="Calibri"/>
          <w:b/>
          <w:bCs/>
          <w:sz w:val="24"/>
          <w:szCs w:val="24"/>
        </w:rPr>
      </w:pPr>
      <w:r w:rsidRPr="00B73122">
        <w:rPr>
          <w:rFonts w:cs="Calibri"/>
          <w:b/>
          <w:bCs/>
          <w:sz w:val="24"/>
          <w:szCs w:val="24"/>
        </w:rPr>
        <w:t xml:space="preserve">Como visto, a função da CAIXA no PMCMV – Entidades, é disciplinada pela IN 12 de 2018 e não se confunde com o papel desempenhado pela Promovida no PMCMV faixa 1, Lei 11.977/2009, tão ressaltado na petição inicial, especialmente na jurisprudência invocada para justificar a responsabilidade </w:t>
      </w:r>
      <w:r>
        <w:rPr>
          <w:rFonts w:cs="Calibri"/>
          <w:b/>
          <w:bCs/>
          <w:sz w:val="24"/>
          <w:szCs w:val="24"/>
        </w:rPr>
        <w:t>atribuída</w:t>
      </w:r>
      <w:r w:rsidRPr="00B73122">
        <w:rPr>
          <w:rFonts w:cs="Calibri"/>
          <w:b/>
          <w:bCs/>
          <w:sz w:val="24"/>
          <w:szCs w:val="24"/>
        </w:rPr>
        <w:t xml:space="preserve"> à Contestante.</w:t>
      </w:r>
    </w:p>
    <w:p w14:paraId="7EEC7E1A" w14:textId="77777777" w:rsidR="002246D0" w:rsidRPr="00CC67DC" w:rsidRDefault="002246D0" w:rsidP="002246D0">
      <w:pPr>
        <w:spacing w:line="360" w:lineRule="auto"/>
        <w:jc w:val="both"/>
        <w:rPr>
          <w:rFonts w:cs="Calibri"/>
          <w:sz w:val="24"/>
          <w:szCs w:val="24"/>
        </w:rPr>
      </w:pPr>
    </w:p>
    <w:p w14:paraId="51AE9551" w14:textId="64699908" w:rsidR="002246D0" w:rsidRDefault="002246D0" w:rsidP="002246D0">
      <w:pPr>
        <w:spacing w:line="360" w:lineRule="auto"/>
        <w:ind w:firstLine="1701"/>
        <w:jc w:val="both"/>
        <w:rPr>
          <w:rFonts w:cs="Calibri"/>
          <w:sz w:val="24"/>
          <w:szCs w:val="24"/>
        </w:rPr>
      </w:pPr>
      <w:r w:rsidRPr="00CC67DC">
        <w:rPr>
          <w:rFonts w:cs="Calibri"/>
          <w:sz w:val="24"/>
          <w:szCs w:val="24"/>
        </w:rPr>
        <w:t xml:space="preserve">Todavia, </w:t>
      </w:r>
      <w:r>
        <w:rPr>
          <w:rFonts w:cs="Calibri"/>
          <w:sz w:val="24"/>
          <w:szCs w:val="24"/>
        </w:rPr>
        <w:t xml:space="preserve">o pedido do </w:t>
      </w:r>
      <w:r w:rsidR="003C3A10">
        <w:rPr>
          <w:rFonts w:cs="Calibri"/>
          <w:sz w:val="24"/>
          <w:szCs w:val="24"/>
        </w:rPr>
        <w:t>recorrente</w:t>
      </w:r>
      <w:r>
        <w:rPr>
          <w:rFonts w:cs="Calibri"/>
          <w:sz w:val="24"/>
          <w:szCs w:val="24"/>
        </w:rPr>
        <w:t>,</w:t>
      </w:r>
      <w:r w:rsidRPr="00CC67DC">
        <w:rPr>
          <w:rFonts w:cs="Calibri"/>
          <w:sz w:val="24"/>
          <w:szCs w:val="24"/>
        </w:rPr>
        <w:t xml:space="preserve"> diante da frustração do empreendimento contratado, ou seja, </w:t>
      </w:r>
      <w:r>
        <w:rPr>
          <w:rFonts w:cs="Calibri"/>
          <w:sz w:val="24"/>
          <w:szCs w:val="24"/>
        </w:rPr>
        <w:t>a condenação da CAIXA na obrigação</w:t>
      </w:r>
      <w:r w:rsidRPr="00CC67DC">
        <w:rPr>
          <w:rFonts w:cs="Calibri"/>
          <w:sz w:val="24"/>
          <w:szCs w:val="24"/>
        </w:rPr>
        <w:t xml:space="preserve"> de contratar outra </w:t>
      </w:r>
      <w:r>
        <w:rPr>
          <w:rFonts w:cs="Calibri"/>
          <w:sz w:val="24"/>
          <w:szCs w:val="24"/>
        </w:rPr>
        <w:t>c</w:t>
      </w:r>
      <w:r w:rsidRPr="00CC67DC">
        <w:rPr>
          <w:rFonts w:cs="Calibri"/>
          <w:sz w:val="24"/>
          <w:szCs w:val="24"/>
        </w:rPr>
        <w:t>onstrutora para dar continuidade às obras é uma questão de</w:t>
      </w:r>
      <w:r>
        <w:rPr>
          <w:rFonts w:cs="Calibri"/>
          <w:sz w:val="24"/>
          <w:szCs w:val="24"/>
        </w:rPr>
        <w:t xml:space="preserve"> </w:t>
      </w:r>
      <w:r>
        <w:rPr>
          <w:rFonts w:cs="Calibri"/>
          <w:b/>
          <w:bCs/>
          <w:sz w:val="24"/>
          <w:szCs w:val="24"/>
          <w:u w:val="single"/>
        </w:rPr>
        <w:t>definição</w:t>
      </w:r>
      <w:r w:rsidRPr="00D64672">
        <w:rPr>
          <w:rFonts w:cs="Calibri"/>
          <w:sz w:val="24"/>
          <w:szCs w:val="24"/>
        </w:rPr>
        <w:t xml:space="preserve"> de política pública de habitação</w:t>
      </w:r>
      <w:r w:rsidRPr="00CC67DC">
        <w:rPr>
          <w:rFonts w:cs="Calibri"/>
          <w:sz w:val="24"/>
          <w:szCs w:val="24"/>
        </w:rPr>
        <w:t>,</w:t>
      </w:r>
      <w:r>
        <w:rPr>
          <w:rFonts w:cs="Calibri"/>
          <w:sz w:val="24"/>
          <w:szCs w:val="24"/>
        </w:rPr>
        <w:t xml:space="preserve"> e </w:t>
      </w:r>
      <w:r w:rsidRPr="00D64672">
        <w:rPr>
          <w:rFonts w:cs="Calibri"/>
          <w:b/>
          <w:bCs/>
          <w:sz w:val="24"/>
          <w:szCs w:val="24"/>
          <w:u w:val="single"/>
        </w:rPr>
        <w:t>não mera execução</w:t>
      </w:r>
      <w:r>
        <w:rPr>
          <w:rFonts w:cs="Calibri"/>
          <w:sz w:val="24"/>
          <w:szCs w:val="24"/>
        </w:rPr>
        <w:t xml:space="preserve">. </w:t>
      </w:r>
    </w:p>
    <w:p w14:paraId="31A33797" w14:textId="77777777" w:rsidR="002246D0" w:rsidRDefault="002246D0" w:rsidP="002246D0">
      <w:pPr>
        <w:spacing w:line="360" w:lineRule="auto"/>
        <w:ind w:firstLine="1701"/>
        <w:jc w:val="both"/>
        <w:rPr>
          <w:rFonts w:cs="Calibri"/>
          <w:sz w:val="24"/>
          <w:szCs w:val="24"/>
        </w:rPr>
      </w:pPr>
    </w:p>
    <w:p w14:paraId="5D987CA9" w14:textId="77777777" w:rsidR="002246D0" w:rsidRPr="004D73D7" w:rsidRDefault="002246D0" w:rsidP="002246D0">
      <w:pPr>
        <w:spacing w:line="360" w:lineRule="auto"/>
        <w:ind w:firstLine="1701"/>
        <w:jc w:val="both"/>
        <w:rPr>
          <w:rFonts w:cs="Calibri"/>
          <w:b/>
          <w:bCs/>
          <w:sz w:val="24"/>
          <w:szCs w:val="24"/>
        </w:rPr>
      </w:pPr>
      <w:r w:rsidRPr="004D73D7">
        <w:rPr>
          <w:rFonts w:cs="Calibri"/>
          <w:b/>
          <w:bCs/>
          <w:sz w:val="24"/>
          <w:szCs w:val="24"/>
        </w:rPr>
        <w:t>Isso porque a legislação do programa não prevê essa atribuição da CAIXA. Não se trata de dar continuidade a uma proposta selecionada pelo MDR porque o contrato de produção do empreendimento foi rescindido. Trata-se de iniciar nova proposta para um empreendimento frustrado. Portanto, a decisão é do Ministério Gestor do Programa.</w:t>
      </w:r>
    </w:p>
    <w:p w14:paraId="3DF3534F" w14:textId="77777777" w:rsidR="002246D0" w:rsidRDefault="002246D0" w:rsidP="002246D0">
      <w:pPr>
        <w:spacing w:line="360" w:lineRule="auto"/>
        <w:ind w:firstLine="1701"/>
        <w:jc w:val="both"/>
        <w:rPr>
          <w:rFonts w:cs="Calibri"/>
          <w:sz w:val="24"/>
          <w:szCs w:val="24"/>
        </w:rPr>
      </w:pPr>
    </w:p>
    <w:p w14:paraId="3ACFD777" w14:textId="77777777" w:rsidR="002246D0" w:rsidRPr="00CC67DC" w:rsidRDefault="002246D0" w:rsidP="002246D0">
      <w:pPr>
        <w:spacing w:line="360" w:lineRule="auto"/>
        <w:ind w:firstLine="1701"/>
        <w:jc w:val="both"/>
        <w:rPr>
          <w:rFonts w:cs="Calibri"/>
          <w:sz w:val="24"/>
          <w:szCs w:val="24"/>
        </w:rPr>
      </w:pPr>
      <w:r>
        <w:rPr>
          <w:rFonts w:cs="Calibri"/>
          <w:sz w:val="24"/>
          <w:szCs w:val="24"/>
        </w:rPr>
        <w:t>Dessa forma,</w:t>
      </w:r>
      <w:r w:rsidRPr="00CC67DC">
        <w:rPr>
          <w:rFonts w:cs="Calibri"/>
          <w:sz w:val="24"/>
          <w:szCs w:val="24"/>
        </w:rPr>
        <w:t xml:space="preserve"> cabe ao Poder Executivo gestor do programa</w:t>
      </w:r>
      <w:r>
        <w:rPr>
          <w:rFonts w:cs="Calibri"/>
          <w:sz w:val="24"/>
          <w:szCs w:val="24"/>
        </w:rPr>
        <w:t xml:space="preserve"> </w:t>
      </w:r>
      <w:r w:rsidRPr="00D64672">
        <w:rPr>
          <w:rFonts w:cs="Calibri"/>
          <w:b/>
          <w:bCs/>
          <w:sz w:val="24"/>
          <w:szCs w:val="24"/>
        </w:rPr>
        <w:t>decidir o destino do recurso</w:t>
      </w:r>
      <w:r w:rsidRPr="00CC67DC">
        <w:rPr>
          <w:rFonts w:cs="Calibri"/>
          <w:sz w:val="24"/>
          <w:szCs w:val="24"/>
        </w:rPr>
        <w:t xml:space="preserve">, e não à CAIXA, que atua apenas na condição de </w:t>
      </w:r>
      <w:r w:rsidRPr="00E749E4">
        <w:rPr>
          <w:rFonts w:cs="Calibri"/>
          <w:b/>
          <w:bCs/>
          <w:sz w:val="24"/>
          <w:szCs w:val="24"/>
        </w:rPr>
        <w:t>agente operacional dos recursos</w:t>
      </w:r>
      <w:r>
        <w:rPr>
          <w:rFonts w:cs="Calibri"/>
          <w:b/>
          <w:bCs/>
          <w:sz w:val="24"/>
          <w:szCs w:val="24"/>
        </w:rPr>
        <w:t>, com função limitada de “</w:t>
      </w:r>
      <w:r w:rsidRPr="002C2F40">
        <w:rPr>
          <w:rFonts w:cs="Calibri"/>
          <w:b/>
          <w:bCs/>
          <w:sz w:val="24"/>
          <w:szCs w:val="24"/>
        </w:rPr>
        <w:t>encaminhar providências para tratamento de empreendimentos frustrados</w:t>
      </w:r>
      <w:r>
        <w:rPr>
          <w:rFonts w:cs="Calibri"/>
          <w:b/>
          <w:bCs/>
          <w:sz w:val="24"/>
          <w:szCs w:val="24"/>
        </w:rPr>
        <w:t>”, o que a Promovida cumpriu</w:t>
      </w:r>
      <w:r w:rsidRPr="00CC67DC">
        <w:rPr>
          <w:rFonts w:cs="Calibri"/>
          <w:sz w:val="24"/>
          <w:szCs w:val="24"/>
        </w:rPr>
        <w:t>.</w:t>
      </w:r>
    </w:p>
    <w:p w14:paraId="5289BAEF" w14:textId="77777777" w:rsidR="002246D0" w:rsidRPr="00CC67DC" w:rsidRDefault="002246D0" w:rsidP="002246D0">
      <w:pPr>
        <w:spacing w:line="360" w:lineRule="auto"/>
        <w:ind w:firstLine="1701"/>
        <w:jc w:val="both"/>
        <w:rPr>
          <w:rFonts w:cs="Calibri"/>
          <w:sz w:val="24"/>
          <w:szCs w:val="24"/>
        </w:rPr>
      </w:pPr>
    </w:p>
    <w:p w14:paraId="08D54057" w14:textId="77777777" w:rsidR="002246D0" w:rsidRPr="00E749E4" w:rsidRDefault="002246D0" w:rsidP="002246D0">
      <w:pPr>
        <w:spacing w:line="360" w:lineRule="auto"/>
        <w:ind w:firstLine="1701"/>
        <w:jc w:val="both"/>
        <w:rPr>
          <w:rFonts w:cs="Calibri"/>
          <w:b/>
          <w:bCs/>
          <w:sz w:val="24"/>
          <w:szCs w:val="24"/>
        </w:rPr>
      </w:pPr>
      <w:r w:rsidRPr="00E749E4">
        <w:rPr>
          <w:rFonts w:cs="Calibri"/>
          <w:b/>
          <w:bCs/>
          <w:sz w:val="24"/>
          <w:szCs w:val="24"/>
        </w:rPr>
        <w:lastRenderedPageBreak/>
        <w:t xml:space="preserve">Por consequência, é a </w:t>
      </w:r>
      <w:r w:rsidRPr="002C2F40">
        <w:rPr>
          <w:rFonts w:cs="Calibri"/>
          <w:b/>
          <w:bCs/>
          <w:sz w:val="24"/>
          <w:szCs w:val="24"/>
          <w:u w:val="single"/>
        </w:rPr>
        <w:t>União</w:t>
      </w:r>
      <w:r w:rsidRPr="00E749E4">
        <w:rPr>
          <w:rFonts w:cs="Calibri"/>
          <w:b/>
          <w:bCs/>
          <w:sz w:val="24"/>
          <w:szCs w:val="24"/>
        </w:rPr>
        <w:t xml:space="preserve"> (que no caso, atua através do MDR) quem responde pela </w:t>
      </w:r>
      <w:r>
        <w:rPr>
          <w:rFonts w:cs="Calibri"/>
          <w:b/>
          <w:bCs/>
          <w:sz w:val="24"/>
          <w:szCs w:val="24"/>
        </w:rPr>
        <w:t xml:space="preserve">implantação e </w:t>
      </w:r>
      <w:r w:rsidRPr="00E749E4">
        <w:rPr>
          <w:rFonts w:cs="Calibri"/>
          <w:b/>
          <w:bCs/>
          <w:sz w:val="24"/>
          <w:szCs w:val="24"/>
        </w:rPr>
        <w:t>efetivação da política pública</w:t>
      </w:r>
      <w:r>
        <w:rPr>
          <w:rFonts w:cs="Calibri"/>
          <w:b/>
          <w:bCs/>
          <w:sz w:val="24"/>
          <w:szCs w:val="24"/>
        </w:rPr>
        <w:t xml:space="preserve"> em</w:t>
      </w:r>
      <w:r w:rsidRPr="00E749E4">
        <w:rPr>
          <w:rFonts w:cs="Calibri"/>
          <w:b/>
          <w:bCs/>
          <w:sz w:val="24"/>
          <w:szCs w:val="24"/>
        </w:rPr>
        <w:t xml:space="preserve"> que consiste o pedido, </w:t>
      </w:r>
      <w:r>
        <w:rPr>
          <w:rFonts w:cs="Calibri"/>
          <w:b/>
          <w:bCs/>
          <w:sz w:val="24"/>
          <w:szCs w:val="24"/>
        </w:rPr>
        <w:t>inclusive,</w:t>
      </w:r>
      <w:r w:rsidRPr="00E749E4">
        <w:rPr>
          <w:rFonts w:cs="Calibri"/>
          <w:b/>
          <w:bCs/>
          <w:sz w:val="24"/>
          <w:szCs w:val="24"/>
        </w:rPr>
        <w:t xml:space="preserve"> decidir se prosseguirá com as obras</w:t>
      </w:r>
      <w:r>
        <w:rPr>
          <w:rFonts w:cs="Calibri"/>
          <w:b/>
          <w:bCs/>
          <w:sz w:val="24"/>
          <w:szCs w:val="24"/>
        </w:rPr>
        <w:t xml:space="preserve"> e, caso positivo, qual é o meio que utilizará para tanto, considerando a regulamentação do Programa.</w:t>
      </w:r>
    </w:p>
    <w:p w14:paraId="7811F117" w14:textId="77777777" w:rsidR="002246D0" w:rsidRDefault="002246D0" w:rsidP="002246D0">
      <w:pPr>
        <w:spacing w:line="360" w:lineRule="auto"/>
        <w:ind w:firstLine="1701"/>
        <w:jc w:val="both"/>
        <w:rPr>
          <w:rFonts w:cs="Calibri"/>
          <w:sz w:val="24"/>
          <w:szCs w:val="24"/>
        </w:rPr>
      </w:pPr>
    </w:p>
    <w:p w14:paraId="635AF4FE" w14:textId="77777777" w:rsidR="002246D0" w:rsidRDefault="002246D0" w:rsidP="002246D0">
      <w:pPr>
        <w:spacing w:line="360" w:lineRule="auto"/>
        <w:ind w:firstLine="1701"/>
        <w:jc w:val="both"/>
        <w:rPr>
          <w:rFonts w:cs="Calibri"/>
          <w:bCs/>
          <w:sz w:val="24"/>
          <w:szCs w:val="24"/>
        </w:rPr>
      </w:pPr>
      <w:r w:rsidRPr="00FD4F22">
        <w:rPr>
          <w:rFonts w:cs="Calibri"/>
          <w:b/>
          <w:sz w:val="24"/>
          <w:szCs w:val="24"/>
        </w:rPr>
        <w:t>Repita-se, o PMCMV-Entidades é disciplinado em legislação específica, que definiu os limites das competências de cada ente. Da mesma forma que não cabe à CAIXA “decidir” pela seleção inicial, não cabe à Caixa decidir que, diante dos inadimplementos contratuais graves ou frustração do empreendimento, haja substituição da proposta contratada, porque ela não tem atribuição legal para isso</w:t>
      </w:r>
      <w:r>
        <w:rPr>
          <w:rFonts w:cs="Calibri"/>
          <w:bCs/>
          <w:sz w:val="24"/>
          <w:szCs w:val="24"/>
        </w:rPr>
        <w:t xml:space="preserve">. </w:t>
      </w:r>
    </w:p>
    <w:p w14:paraId="33759502" w14:textId="77777777" w:rsidR="002246D0" w:rsidRPr="00CC67DC" w:rsidRDefault="002246D0" w:rsidP="002246D0">
      <w:pPr>
        <w:spacing w:line="360" w:lineRule="auto"/>
        <w:jc w:val="both"/>
        <w:rPr>
          <w:rFonts w:cs="Calibri"/>
          <w:bCs/>
          <w:sz w:val="24"/>
          <w:szCs w:val="24"/>
        </w:rPr>
      </w:pPr>
    </w:p>
    <w:p w14:paraId="40E2344F" w14:textId="77777777" w:rsidR="002246D0" w:rsidRPr="00FD4F22" w:rsidRDefault="002246D0" w:rsidP="002246D0">
      <w:pPr>
        <w:spacing w:line="360" w:lineRule="auto"/>
        <w:ind w:firstLine="1701"/>
        <w:jc w:val="both"/>
        <w:rPr>
          <w:rFonts w:cs="Calibri"/>
          <w:b/>
          <w:sz w:val="24"/>
          <w:szCs w:val="24"/>
        </w:rPr>
      </w:pPr>
      <w:r w:rsidRPr="00FD4F22">
        <w:rPr>
          <w:rFonts w:cs="Calibri"/>
          <w:b/>
          <w:sz w:val="24"/>
          <w:szCs w:val="24"/>
        </w:rPr>
        <w:t xml:space="preserve">Ademais, na situação de inadimplemento contratual, a solução prevista é a rescisão do contrato e a comunicação da frustração do empreendimento. Todavia, mesmo rescindido o contrato, a Lei não confere liberalidade à instituição financeira para ir além e contratar outra construtora para finalizar obra inacabada. </w:t>
      </w:r>
    </w:p>
    <w:p w14:paraId="40FD9896" w14:textId="77777777" w:rsidR="002246D0" w:rsidRDefault="002246D0" w:rsidP="002246D0">
      <w:pPr>
        <w:spacing w:line="360" w:lineRule="auto"/>
        <w:ind w:firstLine="1701"/>
        <w:jc w:val="both"/>
        <w:rPr>
          <w:rFonts w:cs="Calibri"/>
          <w:bCs/>
          <w:sz w:val="24"/>
          <w:szCs w:val="24"/>
        </w:rPr>
      </w:pPr>
    </w:p>
    <w:p w14:paraId="5BD37CD2" w14:textId="77777777" w:rsidR="002246D0" w:rsidRPr="00560814" w:rsidRDefault="002246D0" w:rsidP="002246D0">
      <w:pPr>
        <w:spacing w:line="360" w:lineRule="auto"/>
        <w:ind w:firstLine="1701"/>
        <w:jc w:val="both"/>
        <w:rPr>
          <w:rFonts w:cs="Calibri"/>
          <w:b/>
          <w:sz w:val="24"/>
          <w:szCs w:val="24"/>
        </w:rPr>
      </w:pPr>
      <w:r w:rsidRPr="00560814">
        <w:rPr>
          <w:rFonts w:cs="Calibri"/>
          <w:b/>
          <w:sz w:val="24"/>
          <w:szCs w:val="24"/>
        </w:rPr>
        <w:t xml:space="preserve">Logo, mesmo considerando a nobreza do objetivo, garantia do direito de habitação </w:t>
      </w:r>
      <w:r>
        <w:rPr>
          <w:rFonts w:cs="Calibri"/>
          <w:b/>
          <w:sz w:val="24"/>
          <w:szCs w:val="24"/>
        </w:rPr>
        <w:t>previsto no art. 6º da CF</w:t>
      </w:r>
      <w:r w:rsidRPr="00560814">
        <w:rPr>
          <w:rFonts w:cs="Calibri"/>
          <w:b/>
          <w:sz w:val="24"/>
          <w:szCs w:val="24"/>
        </w:rPr>
        <w:t xml:space="preserve">, o pedido deduzido contra a CAIXA é ilegal. Deve ser destacado que o “mandato” recebido da União é limitado às atribuições de gestão do recurso e canal de envio dos documentos e propostas ao MDR. </w:t>
      </w:r>
    </w:p>
    <w:p w14:paraId="5B686552" w14:textId="77777777" w:rsidR="002246D0" w:rsidRDefault="002246D0" w:rsidP="002246D0">
      <w:pPr>
        <w:spacing w:line="360" w:lineRule="auto"/>
        <w:ind w:firstLine="1701"/>
        <w:jc w:val="both"/>
        <w:rPr>
          <w:rFonts w:cs="Calibri"/>
          <w:bCs/>
          <w:sz w:val="24"/>
          <w:szCs w:val="24"/>
        </w:rPr>
      </w:pPr>
    </w:p>
    <w:p w14:paraId="4F03DD3F" w14:textId="77777777" w:rsidR="002246D0" w:rsidRDefault="002246D0" w:rsidP="002246D0">
      <w:pPr>
        <w:spacing w:line="360" w:lineRule="auto"/>
        <w:ind w:firstLine="1701"/>
        <w:jc w:val="both"/>
        <w:rPr>
          <w:rFonts w:cs="Calibri"/>
          <w:bCs/>
          <w:sz w:val="24"/>
          <w:szCs w:val="24"/>
        </w:rPr>
      </w:pPr>
      <w:r>
        <w:rPr>
          <w:rFonts w:cs="Calibri"/>
          <w:bCs/>
          <w:sz w:val="24"/>
          <w:szCs w:val="24"/>
        </w:rPr>
        <w:t>Além disso</w:t>
      </w:r>
      <w:r w:rsidRPr="00CC67DC">
        <w:rPr>
          <w:rFonts w:cs="Calibri"/>
          <w:bCs/>
          <w:sz w:val="24"/>
          <w:szCs w:val="24"/>
        </w:rPr>
        <w:t xml:space="preserve">, não obstante seja inegável que as famílias selecionadas </w:t>
      </w:r>
      <w:r>
        <w:rPr>
          <w:rFonts w:cs="Calibri"/>
          <w:bCs/>
          <w:sz w:val="24"/>
          <w:szCs w:val="24"/>
        </w:rPr>
        <w:t xml:space="preserve">sofreram </w:t>
      </w:r>
      <w:r w:rsidRPr="00CC67DC">
        <w:rPr>
          <w:rFonts w:cs="Calibri"/>
          <w:bCs/>
          <w:sz w:val="24"/>
          <w:szCs w:val="24"/>
        </w:rPr>
        <w:t>frustração da expectativa de um direito, não cabe a imputação desse dano à CAIXA, que age apenas nos limites de suas atribuições, dentro do programa.</w:t>
      </w:r>
    </w:p>
    <w:p w14:paraId="624B8749" w14:textId="77777777" w:rsidR="002246D0" w:rsidRDefault="002246D0" w:rsidP="002246D0">
      <w:pPr>
        <w:spacing w:line="360" w:lineRule="auto"/>
        <w:ind w:firstLine="1701"/>
        <w:jc w:val="both"/>
        <w:rPr>
          <w:rFonts w:cs="Calibri"/>
          <w:bCs/>
          <w:sz w:val="24"/>
          <w:szCs w:val="24"/>
        </w:rPr>
      </w:pPr>
    </w:p>
    <w:p w14:paraId="0691EDB7" w14:textId="77777777" w:rsidR="002246D0" w:rsidRDefault="002246D0" w:rsidP="002246D0">
      <w:pPr>
        <w:spacing w:line="360" w:lineRule="auto"/>
        <w:ind w:firstLine="1701"/>
        <w:jc w:val="both"/>
        <w:rPr>
          <w:rFonts w:eastAsia="Times New Roman" w:cs="Calibri"/>
          <w:b/>
          <w:sz w:val="24"/>
          <w:szCs w:val="24"/>
          <w:lang w:eastAsia="pt-BR"/>
        </w:rPr>
      </w:pPr>
      <w:r w:rsidRPr="00032CB2">
        <w:rPr>
          <w:rFonts w:cs="Calibri"/>
          <w:b/>
          <w:sz w:val="24"/>
          <w:szCs w:val="24"/>
        </w:rPr>
        <w:t>Consequentemente, a CAIXA é parte ilegítima para responder pelo pedido d</w:t>
      </w:r>
      <w:r>
        <w:rPr>
          <w:rFonts w:cs="Calibri"/>
          <w:b/>
          <w:sz w:val="24"/>
          <w:szCs w:val="24"/>
        </w:rPr>
        <w:t xml:space="preserve">e suposto dano material/moral, </w:t>
      </w:r>
      <w:r w:rsidRPr="00032CB2">
        <w:rPr>
          <w:rFonts w:cs="Calibri"/>
          <w:b/>
          <w:sz w:val="24"/>
          <w:szCs w:val="24"/>
        </w:rPr>
        <w:t>motivo por que requer a extinção do processo sem resolução de mérito em relação à Promovida e indica desde já a União como parte legítima para responder o pleito, nos termos do art. 339 do CPC.</w:t>
      </w:r>
    </w:p>
    <w:p w14:paraId="27593211" w14:textId="77777777" w:rsidR="002246D0" w:rsidRDefault="002246D0" w:rsidP="002246D0">
      <w:pPr>
        <w:spacing w:line="360" w:lineRule="auto"/>
        <w:ind w:firstLine="1701"/>
        <w:jc w:val="both"/>
        <w:rPr>
          <w:rFonts w:eastAsia="Times New Roman" w:cs="Calibri"/>
          <w:b/>
          <w:sz w:val="24"/>
          <w:szCs w:val="24"/>
          <w:lang w:eastAsia="pt-BR"/>
        </w:rPr>
      </w:pPr>
    </w:p>
    <w:p w14:paraId="23E26C93" w14:textId="77777777" w:rsidR="002246D0" w:rsidRDefault="002246D0" w:rsidP="003C3A10">
      <w:pPr>
        <w:spacing w:line="360" w:lineRule="auto"/>
        <w:jc w:val="both"/>
        <w:rPr>
          <w:rFonts w:eastAsia="Times New Roman" w:cs="Calibri"/>
          <w:b/>
          <w:sz w:val="24"/>
          <w:szCs w:val="24"/>
          <w:lang w:eastAsia="pt-BR"/>
        </w:rPr>
      </w:pPr>
    </w:p>
    <w:p w14:paraId="299A1D7D" w14:textId="77777777" w:rsidR="003C3A10" w:rsidRDefault="003C3A10" w:rsidP="003C3A10">
      <w:pPr>
        <w:spacing w:line="360" w:lineRule="auto"/>
        <w:jc w:val="center"/>
        <w:rPr>
          <w:rFonts w:eastAsia="Times New Roman" w:cs="Calibri"/>
          <w:b/>
          <w:sz w:val="24"/>
          <w:szCs w:val="24"/>
          <w:lang w:eastAsia="pt-BR"/>
        </w:rPr>
      </w:pPr>
    </w:p>
    <w:p w14:paraId="3A25AE47" w14:textId="77777777" w:rsidR="003C3A10" w:rsidRDefault="003C3A10" w:rsidP="003C3A10">
      <w:pPr>
        <w:spacing w:line="360" w:lineRule="auto"/>
        <w:jc w:val="center"/>
        <w:rPr>
          <w:rFonts w:eastAsia="Times New Roman" w:cs="Calibri"/>
          <w:b/>
          <w:sz w:val="24"/>
          <w:szCs w:val="24"/>
          <w:lang w:eastAsia="pt-BR"/>
        </w:rPr>
      </w:pPr>
    </w:p>
    <w:p w14:paraId="406C184C" w14:textId="186A1EA0" w:rsidR="002246D0" w:rsidRDefault="002246D0" w:rsidP="003C3A10">
      <w:pPr>
        <w:spacing w:line="360" w:lineRule="auto"/>
        <w:jc w:val="center"/>
        <w:rPr>
          <w:rFonts w:eastAsia="Times New Roman" w:cs="Calibri"/>
          <w:b/>
          <w:sz w:val="24"/>
          <w:szCs w:val="24"/>
          <w:lang w:eastAsia="pt-BR"/>
        </w:rPr>
      </w:pPr>
      <w:r>
        <w:rPr>
          <w:rFonts w:eastAsia="Times New Roman" w:cs="Calibri"/>
          <w:b/>
          <w:sz w:val="24"/>
          <w:szCs w:val="24"/>
          <w:lang w:eastAsia="pt-BR"/>
        </w:rPr>
        <w:t>DO MÉRITO</w:t>
      </w:r>
    </w:p>
    <w:p w14:paraId="5568FBC5" w14:textId="0FC61E1E" w:rsidR="002246D0" w:rsidRDefault="002246D0" w:rsidP="003C3A10">
      <w:pPr>
        <w:spacing w:line="360" w:lineRule="auto"/>
        <w:jc w:val="center"/>
        <w:rPr>
          <w:rFonts w:cs="Calibri"/>
        </w:rPr>
      </w:pPr>
      <w:r>
        <w:rPr>
          <w:rFonts w:eastAsia="Times New Roman" w:cs="Calibri"/>
          <w:b/>
          <w:sz w:val="24"/>
          <w:szCs w:val="24"/>
          <w:lang w:eastAsia="pt-BR"/>
        </w:rPr>
        <w:t>- DOS FATOS OCORRIDOS DURANTE A OBRA</w:t>
      </w:r>
    </w:p>
    <w:p w14:paraId="19A499F7" w14:textId="6688845A" w:rsidR="002246D0" w:rsidRDefault="002246D0" w:rsidP="003C3A10">
      <w:pPr>
        <w:pStyle w:val="NormalWeb"/>
        <w:spacing w:line="360" w:lineRule="auto"/>
        <w:ind w:firstLine="708"/>
        <w:jc w:val="both"/>
        <w:rPr>
          <w:rFonts w:ascii="Calibri" w:hAnsi="Calibri" w:cs="Calibri"/>
        </w:rPr>
      </w:pPr>
      <w:r>
        <w:rPr>
          <w:rFonts w:ascii="Calibri" w:hAnsi="Calibri" w:cs="Calibri"/>
        </w:rPr>
        <w:t xml:space="preserve">No mérito, o </w:t>
      </w:r>
      <w:r w:rsidR="003C3A10">
        <w:rPr>
          <w:rFonts w:ascii="Calibri" w:hAnsi="Calibri" w:cs="Calibri"/>
        </w:rPr>
        <w:t>recorrente</w:t>
      </w:r>
      <w:r>
        <w:rPr>
          <w:rFonts w:ascii="Calibri" w:hAnsi="Calibri" w:cs="Calibri"/>
        </w:rPr>
        <w:t xml:space="preserve"> atribui outra responsabilidade à CAIXA: ter sido omissa na fiscalização da obra e, portanto, ter concorrido para atraso de obra.</w:t>
      </w:r>
    </w:p>
    <w:p w14:paraId="2C00B91C" w14:textId="77777777" w:rsidR="002246D0" w:rsidRDefault="002246D0" w:rsidP="003C3A10">
      <w:pPr>
        <w:pStyle w:val="NormalWeb"/>
        <w:spacing w:line="360" w:lineRule="auto"/>
        <w:ind w:firstLine="708"/>
        <w:jc w:val="both"/>
        <w:rPr>
          <w:rFonts w:ascii="Calibri" w:hAnsi="Calibri" w:cs="Calibri"/>
        </w:rPr>
      </w:pPr>
      <w:r>
        <w:rPr>
          <w:rFonts w:ascii="Calibri" w:hAnsi="Calibri" w:cs="Calibri"/>
        </w:rPr>
        <w:t>Inicialmente é curial destacar que NÃO HOUVE ATRASO DA OBRA, sobretudo pelo contrato ter sido celebrado em 17.02.2012 para ser concluído em até 18 meses. Considerando que o HABITE-SE foi expedido em 08.08.2013, temos que o imóvel foi entregue a modo e contento!</w:t>
      </w:r>
    </w:p>
    <w:p w14:paraId="0F5039C3" w14:textId="77777777" w:rsidR="002246D0" w:rsidRDefault="002246D0" w:rsidP="002246D0">
      <w:pPr>
        <w:pStyle w:val="NormalWeb"/>
        <w:spacing w:line="360" w:lineRule="auto"/>
        <w:jc w:val="both"/>
        <w:rPr>
          <w:rFonts w:ascii="Calibri" w:hAnsi="Calibri" w:cs="Calibri"/>
        </w:rPr>
      </w:pPr>
      <w:r>
        <w:rPr>
          <w:rFonts w:ascii="Calibri" w:hAnsi="Calibri" w:cs="Calibri"/>
          <w:noProof/>
        </w:rPr>
        <w:drawing>
          <wp:inline distT="0" distB="0" distL="0" distR="0" wp14:anchorId="4F3C895E" wp14:editId="653DD2A0">
            <wp:extent cx="3733800" cy="4429125"/>
            <wp:effectExtent l="0" t="0" r="0" b="9525"/>
            <wp:docPr id="153076547" name="Imagem 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6547" name="Imagem 2" descr="Texto, Carta&#10;&#10;Descrição gerada automa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3800" cy="4429125"/>
                    </a:xfrm>
                    <a:prstGeom prst="rect">
                      <a:avLst/>
                    </a:prstGeom>
                    <a:noFill/>
                    <a:ln>
                      <a:noFill/>
                    </a:ln>
                  </pic:spPr>
                </pic:pic>
              </a:graphicData>
            </a:graphic>
          </wp:inline>
        </w:drawing>
      </w:r>
    </w:p>
    <w:p w14:paraId="2B6F5060" w14:textId="77777777" w:rsidR="002246D0" w:rsidRDefault="002246D0" w:rsidP="002246D0">
      <w:pPr>
        <w:pStyle w:val="NormalWeb"/>
        <w:spacing w:line="360" w:lineRule="auto"/>
        <w:ind w:firstLine="1985"/>
        <w:jc w:val="both"/>
        <w:rPr>
          <w:rFonts w:ascii="Calibri" w:hAnsi="Calibri" w:cs="Calibri"/>
        </w:rPr>
      </w:pPr>
      <w:r>
        <w:rPr>
          <w:rFonts w:ascii="Calibri" w:hAnsi="Calibri" w:cs="Calibri"/>
        </w:rPr>
        <w:t xml:space="preserve">Outrossim, ainda que tivesse ocorrido algum atraso, temos que </w:t>
      </w:r>
      <w:proofErr w:type="gramStart"/>
      <w:r>
        <w:rPr>
          <w:rFonts w:ascii="Calibri" w:hAnsi="Calibri" w:cs="Calibri"/>
        </w:rPr>
        <w:t>o mesmo</w:t>
      </w:r>
      <w:proofErr w:type="gramEnd"/>
      <w:r>
        <w:rPr>
          <w:rFonts w:ascii="Calibri" w:hAnsi="Calibri" w:cs="Calibri"/>
        </w:rPr>
        <w:t xml:space="preserve"> é justificável pela ocorrência de inquestionável CAUSA MAIOR, a saber um forte vendaval que danificou a grande maioria das unidades, justificando legalmente caso de fato tivesse ocorrido algum atraso, senão vejamos a comunicação há época:</w:t>
      </w:r>
    </w:p>
    <w:p w14:paraId="686B2E71" w14:textId="77777777" w:rsidR="002246D0" w:rsidRDefault="002246D0" w:rsidP="002246D0">
      <w:pPr>
        <w:pStyle w:val="NormalWeb"/>
        <w:spacing w:line="360" w:lineRule="auto"/>
        <w:jc w:val="both"/>
        <w:rPr>
          <w:rFonts w:ascii="Calibri" w:hAnsi="Calibri" w:cs="Calibri"/>
        </w:rPr>
      </w:pPr>
    </w:p>
    <w:p w14:paraId="72E18E66" w14:textId="77777777" w:rsidR="002246D0" w:rsidRDefault="002246D0" w:rsidP="002246D0">
      <w:pPr>
        <w:pStyle w:val="NormalWeb"/>
        <w:spacing w:line="360" w:lineRule="auto"/>
        <w:jc w:val="both"/>
        <w:rPr>
          <w:rFonts w:ascii="Calibri" w:hAnsi="Calibri" w:cs="Calibri"/>
        </w:rPr>
      </w:pPr>
      <w:r>
        <w:rPr>
          <w:rFonts w:ascii="Calibri" w:hAnsi="Calibri" w:cs="Calibri"/>
          <w:noProof/>
        </w:rPr>
        <w:lastRenderedPageBreak/>
        <w:drawing>
          <wp:inline distT="0" distB="0" distL="0" distR="0" wp14:anchorId="112AEAB5" wp14:editId="367ADDEC">
            <wp:extent cx="6115050" cy="9429750"/>
            <wp:effectExtent l="0" t="0" r="0" b="0"/>
            <wp:docPr id="338751734"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51734" name="Imagem 1" descr="Texto, Carta&#10;&#10;Descrição gerada automa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9429750"/>
                    </a:xfrm>
                    <a:prstGeom prst="rect">
                      <a:avLst/>
                    </a:prstGeom>
                    <a:noFill/>
                    <a:ln>
                      <a:noFill/>
                    </a:ln>
                  </pic:spPr>
                </pic:pic>
              </a:graphicData>
            </a:graphic>
          </wp:inline>
        </w:drawing>
      </w:r>
    </w:p>
    <w:p w14:paraId="5220C7BB" w14:textId="77777777" w:rsidR="002246D0" w:rsidRDefault="002246D0" w:rsidP="002246D0">
      <w:pPr>
        <w:pStyle w:val="NormalWeb"/>
        <w:spacing w:line="360" w:lineRule="auto"/>
        <w:jc w:val="both"/>
        <w:rPr>
          <w:rFonts w:ascii="Calibri" w:hAnsi="Calibri" w:cs="Calibri"/>
        </w:rPr>
      </w:pPr>
    </w:p>
    <w:p w14:paraId="4E9B2155" w14:textId="77777777" w:rsidR="002246D0" w:rsidRDefault="002246D0" w:rsidP="002246D0">
      <w:pPr>
        <w:pStyle w:val="NormalWeb"/>
        <w:spacing w:line="360" w:lineRule="auto"/>
        <w:jc w:val="both"/>
        <w:rPr>
          <w:rFonts w:ascii="Calibri" w:hAnsi="Calibri" w:cs="Calibri"/>
        </w:rPr>
      </w:pPr>
    </w:p>
    <w:p w14:paraId="305A8FE6" w14:textId="77777777" w:rsidR="002246D0" w:rsidRDefault="002246D0" w:rsidP="002246D0">
      <w:pPr>
        <w:pStyle w:val="NormalWeb"/>
        <w:spacing w:line="360" w:lineRule="auto"/>
        <w:jc w:val="both"/>
        <w:rPr>
          <w:rFonts w:ascii="Calibri" w:hAnsi="Calibri" w:cs="Calibri"/>
        </w:rPr>
      </w:pPr>
      <w:r w:rsidRPr="00690CB6">
        <w:rPr>
          <w:rFonts w:ascii="Calibri" w:hAnsi="Calibri" w:cs="Calibri"/>
          <w:noProof/>
        </w:rPr>
        <w:drawing>
          <wp:inline distT="0" distB="0" distL="0" distR="0" wp14:anchorId="22A07B1B" wp14:editId="019F8285">
            <wp:extent cx="6391275" cy="4345305"/>
            <wp:effectExtent l="0" t="0" r="9525" b="0"/>
            <wp:docPr id="6462134" name="Imagem 1" descr="Foto preta e branca de jornal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2134" name="Imagem 1" descr="Foto preta e branca de jornal com texto preto sobre fundo branco&#10;&#10;Descrição gerada automaticamente com confiança média"/>
                    <pic:cNvPicPr/>
                  </pic:nvPicPr>
                  <pic:blipFill>
                    <a:blip r:embed="rId13"/>
                    <a:stretch>
                      <a:fillRect/>
                    </a:stretch>
                  </pic:blipFill>
                  <pic:spPr>
                    <a:xfrm>
                      <a:off x="0" y="0"/>
                      <a:ext cx="6391275" cy="4345305"/>
                    </a:xfrm>
                    <a:prstGeom prst="rect">
                      <a:avLst/>
                    </a:prstGeom>
                  </pic:spPr>
                </pic:pic>
              </a:graphicData>
            </a:graphic>
          </wp:inline>
        </w:drawing>
      </w:r>
    </w:p>
    <w:p w14:paraId="1D4F321D" w14:textId="77777777" w:rsidR="002246D0" w:rsidRDefault="002246D0" w:rsidP="002246D0">
      <w:pPr>
        <w:autoSpaceDE w:val="0"/>
        <w:autoSpaceDN w:val="0"/>
        <w:adjustRightInd w:val="0"/>
        <w:spacing w:line="360" w:lineRule="auto"/>
        <w:ind w:firstLine="1985"/>
        <w:jc w:val="both"/>
        <w:rPr>
          <w:rFonts w:cs="Calibri"/>
          <w:sz w:val="24"/>
          <w:szCs w:val="24"/>
        </w:rPr>
      </w:pPr>
    </w:p>
    <w:p w14:paraId="024247EC" w14:textId="77777777" w:rsidR="002246D0" w:rsidRDefault="002246D0" w:rsidP="002246D0">
      <w:pPr>
        <w:autoSpaceDE w:val="0"/>
        <w:autoSpaceDN w:val="0"/>
        <w:adjustRightInd w:val="0"/>
        <w:spacing w:line="360" w:lineRule="auto"/>
        <w:ind w:firstLine="1985"/>
        <w:jc w:val="both"/>
        <w:rPr>
          <w:rFonts w:cs="Calibri"/>
          <w:sz w:val="24"/>
          <w:szCs w:val="24"/>
        </w:rPr>
      </w:pPr>
    </w:p>
    <w:p w14:paraId="43CDE3DA" w14:textId="77777777" w:rsidR="002246D0" w:rsidRPr="008A4B70" w:rsidRDefault="002246D0" w:rsidP="002246D0">
      <w:pPr>
        <w:autoSpaceDE w:val="0"/>
        <w:autoSpaceDN w:val="0"/>
        <w:adjustRightInd w:val="0"/>
        <w:spacing w:line="360" w:lineRule="auto"/>
        <w:ind w:firstLine="1985"/>
        <w:jc w:val="both"/>
        <w:rPr>
          <w:rFonts w:cs="Calibri"/>
          <w:sz w:val="24"/>
          <w:szCs w:val="24"/>
        </w:rPr>
      </w:pPr>
      <w:r w:rsidRPr="008A4B70">
        <w:rPr>
          <w:rFonts w:cs="Calibri"/>
          <w:sz w:val="24"/>
          <w:szCs w:val="24"/>
        </w:rPr>
        <w:t>Cada proposta do PMCMV-E possui um responsável técnico pelos projetos e pela execução das obras, devendo este profissional observar a legislação, os procedimentos ideais de construção das casas, as metodologias e materiais de construção empregados, bem como devem prestar a devida assistência técnica à Entidade Organizadora e aos promitentes beneficiários das unidades habitacionais.</w:t>
      </w:r>
    </w:p>
    <w:p w14:paraId="4CAB081A" w14:textId="77777777" w:rsidR="002246D0" w:rsidRPr="008A4B70" w:rsidRDefault="002246D0" w:rsidP="002246D0">
      <w:pPr>
        <w:autoSpaceDE w:val="0"/>
        <w:autoSpaceDN w:val="0"/>
        <w:adjustRightInd w:val="0"/>
        <w:spacing w:line="360" w:lineRule="auto"/>
        <w:ind w:firstLine="1985"/>
        <w:jc w:val="both"/>
        <w:rPr>
          <w:rFonts w:cs="Calibri"/>
          <w:sz w:val="24"/>
          <w:szCs w:val="24"/>
        </w:rPr>
      </w:pPr>
    </w:p>
    <w:p w14:paraId="5862991F" w14:textId="77777777" w:rsidR="002246D0" w:rsidRDefault="002246D0" w:rsidP="002246D0">
      <w:pPr>
        <w:autoSpaceDE w:val="0"/>
        <w:autoSpaceDN w:val="0"/>
        <w:adjustRightInd w:val="0"/>
        <w:spacing w:line="360" w:lineRule="auto"/>
        <w:ind w:firstLine="1985"/>
        <w:jc w:val="both"/>
        <w:rPr>
          <w:rFonts w:cs="Calibri"/>
          <w:sz w:val="24"/>
          <w:szCs w:val="24"/>
        </w:rPr>
      </w:pPr>
      <w:r w:rsidRPr="008A4B70">
        <w:rPr>
          <w:rFonts w:cs="Calibri"/>
          <w:sz w:val="24"/>
          <w:szCs w:val="24"/>
        </w:rPr>
        <w:t>A Entidade Organizadora é “</w:t>
      </w:r>
      <w:r w:rsidRPr="008A4B70">
        <w:rPr>
          <w:rFonts w:cs="Calibri"/>
          <w:b/>
          <w:bCs/>
          <w:i/>
          <w:iCs/>
          <w:sz w:val="24"/>
          <w:szCs w:val="24"/>
        </w:rPr>
        <w:t>responsável pela proposta de intervenção habitacional junto ao Agente Financeiro e desenvolvimento de cada uma das etapas dos projetos de arquitetura, engenharia, de trabalho social; seleção, mobilização, organização e orientação às famílias tomadoras dos financiamentos, inclusive em relação à documentação necessária, e gestão dos recursos financeiros, obras e serviços do empreendimento, por meio de participação na CRE e CAO</w:t>
      </w:r>
      <w:r w:rsidRPr="008A4B70">
        <w:rPr>
          <w:rFonts w:cs="Calibri"/>
          <w:sz w:val="24"/>
          <w:szCs w:val="24"/>
        </w:rPr>
        <w:t>”, conforme estabelecido na IN 12/2018 do Ministério das Cidades</w:t>
      </w:r>
      <w:r>
        <w:rPr>
          <w:rFonts w:cs="Calibri"/>
          <w:sz w:val="24"/>
          <w:szCs w:val="24"/>
        </w:rPr>
        <w:t>/MDR</w:t>
      </w:r>
      <w:r w:rsidRPr="008A4B70">
        <w:rPr>
          <w:rFonts w:cs="Calibri"/>
          <w:sz w:val="24"/>
          <w:szCs w:val="24"/>
        </w:rPr>
        <w:t>.</w:t>
      </w:r>
    </w:p>
    <w:p w14:paraId="599925A2" w14:textId="77777777" w:rsidR="002246D0" w:rsidRDefault="002246D0" w:rsidP="002246D0">
      <w:pPr>
        <w:autoSpaceDE w:val="0"/>
        <w:autoSpaceDN w:val="0"/>
        <w:adjustRightInd w:val="0"/>
        <w:spacing w:line="360" w:lineRule="auto"/>
        <w:ind w:firstLine="1985"/>
        <w:jc w:val="both"/>
        <w:rPr>
          <w:rFonts w:cs="Calibri"/>
          <w:sz w:val="24"/>
          <w:szCs w:val="24"/>
        </w:rPr>
      </w:pPr>
    </w:p>
    <w:p w14:paraId="63459CDA" w14:textId="77777777" w:rsidR="002246D0"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 xml:space="preserve">É de se ressaltar que a CAIXA não faz fiscalização, que é </w:t>
      </w:r>
      <w:r>
        <w:rPr>
          <w:rFonts w:cs="Calibri"/>
          <w:sz w:val="24"/>
          <w:szCs w:val="24"/>
        </w:rPr>
        <w:t>a</w:t>
      </w:r>
      <w:r w:rsidRPr="00070269">
        <w:rPr>
          <w:rFonts w:cs="Calibri"/>
          <w:sz w:val="24"/>
          <w:szCs w:val="24"/>
        </w:rPr>
        <w:t xml:space="preserve">tividade técnica com </w:t>
      </w:r>
      <w:r>
        <w:rPr>
          <w:rFonts w:cs="Calibri"/>
          <w:sz w:val="24"/>
          <w:szCs w:val="24"/>
        </w:rPr>
        <w:t>norma/</w:t>
      </w:r>
      <w:r w:rsidRPr="00070269">
        <w:rPr>
          <w:rFonts w:cs="Calibri"/>
          <w:sz w:val="24"/>
          <w:szCs w:val="24"/>
        </w:rPr>
        <w:t>ART específica para essa atividade</w:t>
      </w:r>
      <w:r>
        <w:rPr>
          <w:rFonts w:cs="Calibri"/>
          <w:sz w:val="24"/>
          <w:szCs w:val="24"/>
        </w:rPr>
        <w:t>.</w:t>
      </w:r>
    </w:p>
    <w:p w14:paraId="009F51B5" w14:textId="77777777" w:rsidR="002246D0" w:rsidRPr="00070269" w:rsidRDefault="002246D0" w:rsidP="002246D0">
      <w:pPr>
        <w:autoSpaceDE w:val="0"/>
        <w:autoSpaceDN w:val="0"/>
        <w:adjustRightInd w:val="0"/>
        <w:spacing w:line="360" w:lineRule="auto"/>
        <w:ind w:firstLine="1985"/>
        <w:jc w:val="both"/>
        <w:rPr>
          <w:rFonts w:cs="Calibri"/>
          <w:sz w:val="24"/>
          <w:szCs w:val="24"/>
        </w:rPr>
      </w:pPr>
    </w:p>
    <w:p w14:paraId="7B0E3F8D" w14:textId="77777777" w:rsidR="002246D0"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 xml:space="preserve"> As </w:t>
      </w:r>
      <w:r>
        <w:rPr>
          <w:rFonts w:cs="Calibri"/>
          <w:sz w:val="24"/>
          <w:szCs w:val="24"/>
        </w:rPr>
        <w:t xml:space="preserve">análises visuais </w:t>
      </w:r>
      <w:r w:rsidRPr="00070269">
        <w:rPr>
          <w:rFonts w:cs="Calibri"/>
          <w:sz w:val="24"/>
          <w:szCs w:val="24"/>
        </w:rPr>
        <w:t>são</w:t>
      </w:r>
      <w:r>
        <w:rPr>
          <w:rFonts w:cs="Calibri"/>
          <w:sz w:val="24"/>
          <w:szCs w:val="24"/>
        </w:rPr>
        <w:t xml:space="preserve"> pontuais, simples e meramente</w:t>
      </w:r>
      <w:r w:rsidRPr="00070269">
        <w:rPr>
          <w:rFonts w:cs="Calibri"/>
          <w:sz w:val="24"/>
          <w:szCs w:val="24"/>
        </w:rPr>
        <w:t xml:space="preserve"> amostrais, sem auxílio de instrumentos de precisão, </w:t>
      </w:r>
      <w:r>
        <w:rPr>
          <w:rFonts w:cs="Calibri"/>
          <w:sz w:val="24"/>
          <w:szCs w:val="24"/>
        </w:rPr>
        <w:t>com</w:t>
      </w:r>
      <w:r w:rsidRPr="00070269">
        <w:rPr>
          <w:rFonts w:cs="Calibri"/>
          <w:sz w:val="24"/>
          <w:szCs w:val="24"/>
        </w:rPr>
        <w:t xml:space="preserve"> o intuito de aferir as medições apresentadas pelo proponente e de verificar a qualidade aparente da obra, atividade que não se caracteriza como </w:t>
      </w:r>
      <w:r>
        <w:rPr>
          <w:rFonts w:cs="Calibri"/>
          <w:sz w:val="24"/>
          <w:szCs w:val="24"/>
        </w:rPr>
        <w:t xml:space="preserve">atividade de </w:t>
      </w:r>
      <w:r w:rsidRPr="00070269">
        <w:rPr>
          <w:rFonts w:cs="Calibri"/>
          <w:sz w:val="24"/>
          <w:szCs w:val="24"/>
        </w:rPr>
        <w:t>fiscalização de obras</w:t>
      </w:r>
      <w:r>
        <w:rPr>
          <w:rFonts w:cs="Calibri"/>
          <w:sz w:val="24"/>
          <w:szCs w:val="24"/>
        </w:rPr>
        <w:t>.</w:t>
      </w:r>
      <w:r w:rsidRPr="00070269">
        <w:rPr>
          <w:rFonts w:cs="Calibri"/>
          <w:sz w:val="24"/>
          <w:szCs w:val="24"/>
        </w:rPr>
        <w:t xml:space="preserve"> </w:t>
      </w:r>
    </w:p>
    <w:p w14:paraId="6CA90A45" w14:textId="77777777" w:rsidR="002246D0" w:rsidRPr="00070269" w:rsidRDefault="002246D0" w:rsidP="002246D0">
      <w:pPr>
        <w:autoSpaceDE w:val="0"/>
        <w:autoSpaceDN w:val="0"/>
        <w:adjustRightInd w:val="0"/>
        <w:spacing w:line="360" w:lineRule="auto"/>
        <w:ind w:firstLine="1985"/>
        <w:jc w:val="both"/>
        <w:rPr>
          <w:rFonts w:cs="Calibri"/>
          <w:sz w:val="24"/>
          <w:szCs w:val="24"/>
        </w:rPr>
      </w:pPr>
    </w:p>
    <w:p w14:paraId="2BFBDCCC" w14:textId="77777777" w:rsidR="002246D0" w:rsidRPr="00070269" w:rsidRDefault="002246D0" w:rsidP="002246D0">
      <w:pPr>
        <w:autoSpaceDE w:val="0"/>
        <w:autoSpaceDN w:val="0"/>
        <w:adjustRightInd w:val="0"/>
        <w:spacing w:line="360" w:lineRule="auto"/>
        <w:ind w:firstLine="1985"/>
        <w:jc w:val="both"/>
        <w:rPr>
          <w:rFonts w:cs="Calibri"/>
          <w:b/>
          <w:bCs/>
          <w:sz w:val="24"/>
          <w:szCs w:val="24"/>
          <w:u w:val="single"/>
        </w:rPr>
      </w:pPr>
      <w:r w:rsidRPr="00070269">
        <w:rPr>
          <w:rFonts w:cs="Calibri"/>
          <w:b/>
          <w:bCs/>
          <w:sz w:val="24"/>
          <w:szCs w:val="24"/>
          <w:u w:val="single"/>
        </w:rPr>
        <w:t xml:space="preserve">No caso dos autos, do PMCMV FAIXA I – PNHU </w:t>
      </w:r>
      <w:proofErr w:type="gramStart"/>
      <w:r w:rsidRPr="00070269">
        <w:rPr>
          <w:rFonts w:cs="Calibri"/>
          <w:b/>
          <w:bCs/>
          <w:sz w:val="24"/>
          <w:szCs w:val="24"/>
          <w:u w:val="single"/>
        </w:rPr>
        <w:t>-  FDS</w:t>
      </w:r>
      <w:proofErr w:type="gramEnd"/>
      <w:r w:rsidRPr="00070269">
        <w:rPr>
          <w:rFonts w:cs="Calibri"/>
          <w:b/>
          <w:bCs/>
          <w:sz w:val="24"/>
          <w:szCs w:val="24"/>
          <w:u w:val="single"/>
        </w:rPr>
        <w:t xml:space="preserve">, há a participação direta dos beneficiários na construção e na administração da obra através da CRE (comissão dos representantes do empreendimento) e CAO (comissão de acompanhamento de obras). Ambas as comissões são formadas pelos beneficiários.   </w:t>
      </w:r>
    </w:p>
    <w:p w14:paraId="78524EF4" w14:textId="77777777" w:rsidR="002246D0" w:rsidRDefault="002246D0" w:rsidP="002246D0">
      <w:pPr>
        <w:rPr>
          <w:rFonts w:cs="Calibri"/>
        </w:rPr>
      </w:pPr>
      <w:r>
        <w:rPr>
          <w:rFonts w:cs="Calibri"/>
        </w:rPr>
        <w:t> </w:t>
      </w:r>
    </w:p>
    <w:p w14:paraId="08ABE679" w14:textId="77777777" w:rsidR="002246D0" w:rsidRPr="00070269" w:rsidRDefault="002246D0" w:rsidP="002246D0">
      <w:pPr>
        <w:autoSpaceDE w:val="0"/>
        <w:autoSpaceDN w:val="0"/>
        <w:adjustRightInd w:val="0"/>
        <w:spacing w:line="360" w:lineRule="auto"/>
        <w:ind w:firstLine="1985"/>
        <w:jc w:val="both"/>
        <w:rPr>
          <w:rFonts w:cs="Calibri"/>
          <w:b/>
          <w:bCs/>
          <w:sz w:val="24"/>
          <w:szCs w:val="24"/>
        </w:rPr>
      </w:pPr>
      <w:r w:rsidRPr="00070269">
        <w:rPr>
          <w:rFonts w:cs="Calibri"/>
          <w:b/>
          <w:bCs/>
          <w:sz w:val="24"/>
          <w:szCs w:val="24"/>
        </w:rPr>
        <w:t>Na ata da eleição da CRE - comissão dos representantes do empreendimento - está descrito suas atribuições: </w:t>
      </w:r>
    </w:p>
    <w:p w14:paraId="45B55EF0" w14:textId="77777777" w:rsidR="002246D0" w:rsidRDefault="002246D0" w:rsidP="002246D0">
      <w:pPr>
        <w:rPr>
          <w:rFonts w:cs="Calibri"/>
        </w:rPr>
      </w:pPr>
      <w:r>
        <w:rPr>
          <w:rFonts w:cs="Calibri"/>
        </w:rPr>
        <w:t> </w:t>
      </w:r>
    </w:p>
    <w:p w14:paraId="5A07F2C1"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-Firmar abertura de conta poupança, não solidária, na agência concessora.  </w:t>
      </w:r>
    </w:p>
    <w:p w14:paraId="7DF8C095"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-Gerir e movimentar os recursos financeiros liberados pela CAIXA para a produção das UH e/ou para pagamento da assistência técnica para elaboração dos projetos.  </w:t>
      </w:r>
    </w:p>
    <w:p w14:paraId="4B01189A"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-Prestar constas aos demais futuros beneficiários participantes do empreendimento sobre a aplicação dos recursos liberados pela CAIXA.  </w:t>
      </w:r>
    </w:p>
    <w:p w14:paraId="0419AB2F"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-Acompanhar financeiramente o contrato.  </w:t>
      </w:r>
    </w:p>
    <w:p w14:paraId="67C8D861"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-Autorizar em conjunto com a EO, a transferência de parcelas relativas as obras e serviços executados, diretamente pela empresa construtora, nas contratações com regime de cogestão, desde que acordado formalmente entre as partes.  </w:t>
      </w:r>
    </w:p>
    <w:p w14:paraId="1F21E4D2"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 </w:t>
      </w:r>
    </w:p>
    <w:p w14:paraId="72540F1F"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b/>
          <w:bCs/>
          <w:sz w:val="24"/>
          <w:szCs w:val="24"/>
        </w:rPr>
        <w:t xml:space="preserve">Na ata da eleição da CAO </w:t>
      </w:r>
      <w:proofErr w:type="gramStart"/>
      <w:r w:rsidRPr="00070269">
        <w:rPr>
          <w:rFonts w:cs="Calibri"/>
          <w:b/>
          <w:bCs/>
          <w:sz w:val="24"/>
          <w:szCs w:val="24"/>
        </w:rPr>
        <w:t>-  comissão</w:t>
      </w:r>
      <w:proofErr w:type="gramEnd"/>
      <w:r w:rsidRPr="00070269">
        <w:rPr>
          <w:rFonts w:cs="Calibri"/>
          <w:b/>
          <w:bCs/>
          <w:sz w:val="24"/>
          <w:szCs w:val="24"/>
        </w:rPr>
        <w:t xml:space="preserve"> de acompanhamento de obras) -  está descrito suas atribuições</w:t>
      </w:r>
      <w:r w:rsidRPr="00070269">
        <w:rPr>
          <w:rFonts w:cs="Calibri"/>
          <w:sz w:val="24"/>
          <w:szCs w:val="24"/>
        </w:rPr>
        <w:t>: </w:t>
      </w:r>
    </w:p>
    <w:p w14:paraId="1DD5195E"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 </w:t>
      </w:r>
    </w:p>
    <w:p w14:paraId="133ADD6E"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lastRenderedPageBreak/>
        <w:t>-Responsabilizar-se conjuntamente com a EO, pela execução do empreendimento e/ou acompanhamento da elaboração, apresentação e aprovação dos projetos, junto aos órgãos competentes.  </w:t>
      </w:r>
    </w:p>
    <w:p w14:paraId="544D73DD"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-Acompanhar as obras e aplicação dos recursos geridos pela CRE </w:t>
      </w:r>
    </w:p>
    <w:p w14:paraId="3A62DA40"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Dialogar com a empresa construtora, no caso de fase II, e/ou com empresas fornecedoras do material de construção.  </w:t>
      </w:r>
    </w:p>
    <w:p w14:paraId="7D5B917A"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-Dialogar com o engenheiro responsável pelas obras, ou no caso de aquisição de terreno, com a assessoria técnica responsável pela elaboração dos projetos.  </w:t>
      </w:r>
    </w:p>
    <w:p w14:paraId="3CE8F96B" w14:textId="77777777" w:rsidR="002246D0" w:rsidRPr="00070269" w:rsidRDefault="002246D0" w:rsidP="002246D0">
      <w:pPr>
        <w:autoSpaceDE w:val="0"/>
        <w:autoSpaceDN w:val="0"/>
        <w:adjustRightInd w:val="0"/>
        <w:spacing w:line="360" w:lineRule="auto"/>
        <w:ind w:firstLine="1985"/>
        <w:jc w:val="both"/>
        <w:rPr>
          <w:rFonts w:cs="Calibri"/>
          <w:i/>
          <w:iCs/>
          <w:sz w:val="24"/>
          <w:szCs w:val="24"/>
          <w:u w:val="single"/>
        </w:rPr>
      </w:pPr>
      <w:r w:rsidRPr="00070269">
        <w:rPr>
          <w:rFonts w:cs="Calibri"/>
          <w:i/>
          <w:iCs/>
          <w:sz w:val="24"/>
          <w:szCs w:val="24"/>
          <w:u w:val="single"/>
        </w:rPr>
        <w:t>Justificar em conjunto com a EO, o pleito de prorrogação de prazo de carência. </w:t>
      </w:r>
    </w:p>
    <w:p w14:paraId="50B560B3" w14:textId="77777777" w:rsidR="002246D0" w:rsidRPr="00070269" w:rsidRDefault="002246D0" w:rsidP="002246D0">
      <w:pPr>
        <w:autoSpaceDE w:val="0"/>
        <w:autoSpaceDN w:val="0"/>
        <w:adjustRightInd w:val="0"/>
        <w:spacing w:line="360" w:lineRule="auto"/>
        <w:ind w:firstLine="1985"/>
        <w:jc w:val="both"/>
        <w:rPr>
          <w:rFonts w:cs="Calibri"/>
          <w:sz w:val="24"/>
          <w:szCs w:val="24"/>
        </w:rPr>
      </w:pPr>
      <w:r w:rsidRPr="00070269">
        <w:rPr>
          <w:rFonts w:cs="Calibri"/>
          <w:sz w:val="24"/>
          <w:szCs w:val="24"/>
        </w:rPr>
        <w:t>-Prestar contas aos demais futuros beneficiários participantes do empreendimento sobre o desenvolvimento dos projetos, ou no caso de construção, sobre o andamento das obras, segurança e guarda das obras e material adquirido. </w:t>
      </w:r>
    </w:p>
    <w:p w14:paraId="594BA345" w14:textId="77777777" w:rsidR="002246D0" w:rsidRPr="008A4B70" w:rsidRDefault="002246D0" w:rsidP="002246D0">
      <w:pPr>
        <w:autoSpaceDE w:val="0"/>
        <w:autoSpaceDN w:val="0"/>
        <w:adjustRightInd w:val="0"/>
        <w:spacing w:line="360" w:lineRule="auto"/>
        <w:jc w:val="both"/>
        <w:rPr>
          <w:rFonts w:cs="Calibri"/>
          <w:sz w:val="24"/>
          <w:szCs w:val="24"/>
        </w:rPr>
      </w:pPr>
    </w:p>
    <w:p w14:paraId="45C36BA7" w14:textId="77777777" w:rsidR="002246D0" w:rsidRPr="008A4B70" w:rsidRDefault="002246D0" w:rsidP="002246D0">
      <w:pPr>
        <w:autoSpaceDE w:val="0"/>
        <w:autoSpaceDN w:val="0"/>
        <w:adjustRightInd w:val="0"/>
        <w:spacing w:line="360" w:lineRule="auto"/>
        <w:ind w:firstLine="1985"/>
        <w:jc w:val="both"/>
        <w:rPr>
          <w:rFonts w:cs="Calibri"/>
          <w:sz w:val="24"/>
          <w:szCs w:val="24"/>
        </w:rPr>
      </w:pPr>
      <w:r w:rsidRPr="008A4B70">
        <w:rPr>
          <w:rFonts w:cs="Calibri"/>
          <w:sz w:val="24"/>
          <w:szCs w:val="24"/>
        </w:rPr>
        <w:t xml:space="preserve">Essas atribuições são ratificadas no </w:t>
      </w:r>
      <w:r w:rsidRPr="008A4B70">
        <w:rPr>
          <w:rFonts w:cs="Calibri"/>
          <w:b/>
          <w:bCs/>
          <w:sz w:val="24"/>
          <w:szCs w:val="24"/>
        </w:rPr>
        <w:t xml:space="preserve">Contrato de Compra e Venda Terreno, Pagamento de Despesas de Legalização e Assistência Técnica para Projetos – Programa Minha Casa Vida – Entidades – Pessoa Jurídica, no Termo de Cooperação e Parceria e Contrato de Novação de Dívida, Mútuo para Construção de Empreendimento Imobiliário e Alienação Fiduciária em Garantia PMCMV – Entidades – FDS – PJ </w:t>
      </w:r>
      <w:r w:rsidRPr="008A4B70">
        <w:rPr>
          <w:rFonts w:cs="Calibri"/>
          <w:sz w:val="24"/>
          <w:szCs w:val="24"/>
        </w:rPr>
        <w:t>Entidade Organizadora deve eleger uma Comissão de Representantes da Entidade – CRE, que é responsável por “</w:t>
      </w:r>
      <w:r w:rsidRPr="008A4B70">
        <w:rPr>
          <w:rFonts w:cs="Calibri"/>
          <w:b/>
          <w:bCs/>
          <w:i/>
          <w:iCs/>
          <w:sz w:val="24"/>
          <w:szCs w:val="24"/>
        </w:rPr>
        <w:t>gerir e movimentar os recursos financeiros destinados à produção e legalização do empreendimento, de executar cotação de preços, de realizar pagamentos, após consulta à CAO sobre a qualidade de serviços executados e materiais adquiridos ou utilizados, e de efetuar prestação de contas, à qual será dada publicidade aos beneficiários</w:t>
      </w:r>
      <w:r w:rsidRPr="008A4B70">
        <w:rPr>
          <w:rFonts w:cs="Calibri"/>
          <w:sz w:val="24"/>
          <w:szCs w:val="24"/>
        </w:rPr>
        <w:t>”.</w:t>
      </w:r>
    </w:p>
    <w:p w14:paraId="7505BA7C" w14:textId="77777777" w:rsidR="002246D0" w:rsidRPr="008A4B70" w:rsidRDefault="002246D0" w:rsidP="002246D0">
      <w:pPr>
        <w:autoSpaceDE w:val="0"/>
        <w:autoSpaceDN w:val="0"/>
        <w:adjustRightInd w:val="0"/>
        <w:spacing w:line="360" w:lineRule="auto"/>
        <w:ind w:firstLine="1985"/>
        <w:jc w:val="both"/>
        <w:rPr>
          <w:rFonts w:cs="Calibri"/>
          <w:sz w:val="24"/>
          <w:szCs w:val="24"/>
        </w:rPr>
      </w:pPr>
    </w:p>
    <w:p w14:paraId="77D0188F" w14:textId="77777777" w:rsidR="002246D0" w:rsidRPr="008A4B70" w:rsidRDefault="002246D0" w:rsidP="002246D0">
      <w:pPr>
        <w:autoSpaceDE w:val="0"/>
        <w:autoSpaceDN w:val="0"/>
        <w:adjustRightInd w:val="0"/>
        <w:spacing w:line="360" w:lineRule="auto"/>
        <w:ind w:firstLine="1985"/>
        <w:jc w:val="both"/>
        <w:rPr>
          <w:rFonts w:cs="Calibri"/>
          <w:sz w:val="24"/>
          <w:szCs w:val="24"/>
        </w:rPr>
      </w:pPr>
      <w:r w:rsidRPr="008A4B70">
        <w:rPr>
          <w:rFonts w:cs="Calibri"/>
          <w:sz w:val="24"/>
          <w:szCs w:val="24"/>
        </w:rPr>
        <w:t>A Entidade Organizadora também deve eleger uma Comissão de Acompanhamento de Obra – CAO, que é responsável pelo “</w:t>
      </w:r>
      <w:r w:rsidRPr="008A4B70">
        <w:rPr>
          <w:rFonts w:cs="Calibri"/>
          <w:b/>
          <w:bCs/>
          <w:i/>
          <w:iCs/>
          <w:sz w:val="24"/>
          <w:szCs w:val="24"/>
        </w:rPr>
        <w:t>acompanhamento e fiscalização da execução do empreendimento mediante interlocução e apoio da assessoria técnica e, quando em regime de cogestão, com construtora e, quando em regime de autogestão, com prestadores de serviços</w:t>
      </w:r>
      <w:r w:rsidRPr="008A4B70">
        <w:rPr>
          <w:rFonts w:cs="Calibri"/>
          <w:sz w:val="24"/>
          <w:szCs w:val="24"/>
        </w:rPr>
        <w:t>”.</w:t>
      </w:r>
    </w:p>
    <w:p w14:paraId="054B2D59" w14:textId="77777777" w:rsidR="002246D0" w:rsidRPr="00E42799" w:rsidRDefault="002246D0" w:rsidP="002246D0">
      <w:pPr>
        <w:tabs>
          <w:tab w:val="left" w:pos="708"/>
        </w:tabs>
        <w:suppressAutoHyphens/>
        <w:spacing w:line="360" w:lineRule="auto"/>
        <w:jc w:val="both"/>
        <w:rPr>
          <w:rFonts w:cs="Calibri"/>
          <w:sz w:val="24"/>
          <w:szCs w:val="24"/>
        </w:rPr>
      </w:pPr>
    </w:p>
    <w:p w14:paraId="30176B80" w14:textId="77777777" w:rsidR="002246D0" w:rsidRPr="00E42799" w:rsidRDefault="002246D0" w:rsidP="002246D0">
      <w:pPr>
        <w:suppressAutoHyphens/>
        <w:spacing w:line="360" w:lineRule="atLeast"/>
        <w:ind w:firstLine="1985"/>
        <w:jc w:val="both"/>
        <w:rPr>
          <w:rFonts w:cs="Calibri"/>
          <w:b/>
          <w:bCs/>
          <w:sz w:val="24"/>
          <w:szCs w:val="24"/>
        </w:rPr>
      </w:pPr>
      <w:r w:rsidRPr="00E42799">
        <w:rPr>
          <w:rFonts w:cs="Calibri"/>
          <w:b/>
          <w:bCs/>
          <w:sz w:val="24"/>
          <w:szCs w:val="24"/>
        </w:rPr>
        <w:t>Neste ponto, cumpre destacar que os desembolsos para evolução das obras são realizados de forma antecipada. A primeira parcela é liberada no valor de 4%.</w:t>
      </w:r>
    </w:p>
    <w:p w14:paraId="0D83E1DF" w14:textId="77777777" w:rsidR="002246D0" w:rsidRPr="00E42799" w:rsidRDefault="002246D0" w:rsidP="002246D0">
      <w:pPr>
        <w:suppressAutoHyphens/>
        <w:spacing w:line="360" w:lineRule="atLeast"/>
        <w:ind w:firstLine="1985"/>
        <w:jc w:val="both"/>
        <w:rPr>
          <w:rFonts w:cs="Calibri"/>
          <w:b/>
          <w:bCs/>
          <w:sz w:val="24"/>
          <w:szCs w:val="24"/>
        </w:rPr>
      </w:pPr>
    </w:p>
    <w:p w14:paraId="177CEFB9" w14:textId="77777777" w:rsidR="002246D0" w:rsidRPr="00E42799" w:rsidRDefault="002246D0" w:rsidP="002246D0">
      <w:pPr>
        <w:suppressAutoHyphens/>
        <w:spacing w:line="360" w:lineRule="atLeast"/>
        <w:ind w:firstLine="1985"/>
        <w:jc w:val="both"/>
        <w:rPr>
          <w:rFonts w:cs="Calibri"/>
          <w:b/>
          <w:bCs/>
          <w:sz w:val="24"/>
          <w:szCs w:val="24"/>
        </w:rPr>
      </w:pPr>
      <w:r w:rsidRPr="00E42799">
        <w:rPr>
          <w:rFonts w:cs="Calibri"/>
          <w:b/>
          <w:bCs/>
          <w:sz w:val="24"/>
          <w:szCs w:val="24"/>
        </w:rPr>
        <w:lastRenderedPageBreak/>
        <w:t>As demais parcelas, excetuando-se a última, poderão ser liberadas antecipadamente até o valor acumulado de 95%, condicionado a que a diferença entre o percentual acumulado das liberações, acrescido do percentual a ser liberado, e o percentual acumulado de execução da obra atestada seja de, no máximo, 4%. A última parcela não é antecipada, e corresponde a 5%, liberada somente quando da conclusão das obras.</w:t>
      </w:r>
    </w:p>
    <w:p w14:paraId="2F05392A" w14:textId="77777777" w:rsidR="002246D0" w:rsidRDefault="002246D0" w:rsidP="002246D0">
      <w:pPr>
        <w:suppressAutoHyphens/>
        <w:spacing w:line="360" w:lineRule="atLeast"/>
        <w:ind w:firstLine="1985"/>
        <w:jc w:val="both"/>
        <w:rPr>
          <w:rFonts w:cs="Calibri"/>
          <w:b/>
          <w:bCs/>
          <w:sz w:val="24"/>
          <w:szCs w:val="24"/>
          <w:u w:val="single"/>
        </w:rPr>
      </w:pPr>
    </w:p>
    <w:p w14:paraId="766ED97F" w14:textId="77777777" w:rsidR="002246D0" w:rsidRPr="00E42799" w:rsidRDefault="002246D0" w:rsidP="002246D0">
      <w:pPr>
        <w:suppressAutoHyphens/>
        <w:spacing w:line="360" w:lineRule="atLeast"/>
        <w:ind w:firstLine="1985"/>
        <w:jc w:val="both"/>
        <w:rPr>
          <w:rFonts w:cs="Calibri"/>
          <w:b/>
          <w:bCs/>
          <w:sz w:val="24"/>
          <w:szCs w:val="24"/>
          <w:u w:val="single"/>
        </w:rPr>
      </w:pPr>
      <w:r w:rsidRPr="00E42799">
        <w:rPr>
          <w:rFonts w:cs="Calibri"/>
          <w:b/>
          <w:bCs/>
          <w:sz w:val="24"/>
          <w:szCs w:val="24"/>
          <w:u w:val="single"/>
        </w:rPr>
        <w:t xml:space="preserve">Essa é a regulamentação do fluxo de pagamentos no PMCMV – Entidades. </w:t>
      </w:r>
    </w:p>
    <w:p w14:paraId="159AC3CB" w14:textId="77777777" w:rsidR="002246D0" w:rsidRDefault="002246D0" w:rsidP="002246D0">
      <w:pPr>
        <w:autoSpaceDE w:val="0"/>
        <w:autoSpaceDN w:val="0"/>
        <w:adjustRightInd w:val="0"/>
        <w:spacing w:line="360" w:lineRule="auto"/>
        <w:ind w:firstLine="2127"/>
        <w:jc w:val="both"/>
        <w:rPr>
          <w:rFonts w:cs="Calibri"/>
          <w:sz w:val="24"/>
          <w:szCs w:val="24"/>
        </w:rPr>
      </w:pPr>
    </w:p>
    <w:p w14:paraId="6D55F086" w14:textId="1EC88EC9" w:rsidR="002246D0" w:rsidRDefault="002246D0" w:rsidP="002246D0">
      <w:pPr>
        <w:autoSpaceDE w:val="0"/>
        <w:autoSpaceDN w:val="0"/>
        <w:adjustRightInd w:val="0"/>
        <w:spacing w:line="360" w:lineRule="auto"/>
        <w:ind w:firstLine="2127"/>
        <w:jc w:val="both"/>
        <w:rPr>
          <w:rFonts w:cs="Calibri"/>
          <w:sz w:val="24"/>
          <w:szCs w:val="24"/>
        </w:rPr>
      </w:pPr>
      <w:r>
        <w:rPr>
          <w:rFonts w:cs="Calibri"/>
          <w:sz w:val="24"/>
          <w:szCs w:val="24"/>
        </w:rPr>
        <w:t xml:space="preserve">Diante do exposto, no que se refere ao mérito das pretensões apresentadas pelo </w:t>
      </w:r>
      <w:r w:rsidR="003C3A10">
        <w:rPr>
          <w:rFonts w:cs="Calibri"/>
          <w:sz w:val="24"/>
          <w:szCs w:val="24"/>
        </w:rPr>
        <w:t>recorrente</w:t>
      </w:r>
      <w:r>
        <w:rPr>
          <w:rFonts w:cs="Calibri"/>
          <w:sz w:val="24"/>
          <w:szCs w:val="24"/>
        </w:rPr>
        <w:t>, os fatos e fundamentos jurídicos postos evidenciam que a CAIXA não concorreu atraso de obra, tampouco foi omissa na fiscalização da obra ou procedeu com liberação de recursos de forma incompatível com as regras do programa.</w:t>
      </w:r>
    </w:p>
    <w:p w14:paraId="14F94436" w14:textId="77777777" w:rsidR="002246D0" w:rsidRDefault="002246D0" w:rsidP="002246D0">
      <w:pPr>
        <w:autoSpaceDE w:val="0"/>
        <w:autoSpaceDN w:val="0"/>
        <w:adjustRightInd w:val="0"/>
        <w:spacing w:line="360" w:lineRule="auto"/>
        <w:ind w:firstLine="2127"/>
        <w:jc w:val="both"/>
        <w:rPr>
          <w:rFonts w:cs="Calibri"/>
          <w:sz w:val="24"/>
          <w:szCs w:val="24"/>
        </w:rPr>
      </w:pPr>
    </w:p>
    <w:p w14:paraId="39BA8517" w14:textId="77777777" w:rsidR="002246D0" w:rsidRDefault="002246D0" w:rsidP="002246D0">
      <w:pPr>
        <w:autoSpaceDE w:val="0"/>
        <w:autoSpaceDN w:val="0"/>
        <w:adjustRightInd w:val="0"/>
        <w:spacing w:line="360" w:lineRule="auto"/>
        <w:ind w:firstLine="2127"/>
        <w:jc w:val="both"/>
        <w:rPr>
          <w:rFonts w:cs="Calibri"/>
          <w:sz w:val="24"/>
          <w:szCs w:val="24"/>
        </w:rPr>
      </w:pPr>
      <w:r>
        <w:rPr>
          <w:rFonts w:cs="Calibri"/>
          <w:sz w:val="24"/>
          <w:szCs w:val="24"/>
        </w:rPr>
        <w:t xml:space="preserve">Por consequência, em caso de rejeição da questão preliminar posta no tópico anterior, a CAIXA requer sejam julgados improcedentes os pedidos deduzidos contra </w:t>
      </w:r>
      <w:proofErr w:type="gramStart"/>
      <w:r>
        <w:rPr>
          <w:rFonts w:cs="Calibri"/>
          <w:sz w:val="24"/>
          <w:szCs w:val="24"/>
        </w:rPr>
        <w:t>esta</w:t>
      </w:r>
      <w:proofErr w:type="gramEnd"/>
      <w:r>
        <w:rPr>
          <w:rFonts w:cs="Calibri"/>
          <w:sz w:val="24"/>
          <w:szCs w:val="24"/>
        </w:rPr>
        <w:t xml:space="preserve"> Promovida.</w:t>
      </w:r>
    </w:p>
    <w:p w14:paraId="4390830B" w14:textId="783BF707" w:rsidR="002246D0" w:rsidRDefault="002246D0" w:rsidP="002246D0">
      <w:pPr>
        <w:autoSpaceDE w:val="0"/>
        <w:autoSpaceDN w:val="0"/>
        <w:adjustRightInd w:val="0"/>
        <w:spacing w:line="360" w:lineRule="auto"/>
        <w:ind w:firstLine="2127"/>
        <w:jc w:val="both"/>
      </w:pPr>
      <w:r>
        <w:rPr>
          <w:rFonts w:cs="Calibri"/>
          <w:sz w:val="24"/>
          <w:szCs w:val="24"/>
        </w:rPr>
        <w:t xml:space="preserve">Ademais, </w:t>
      </w:r>
      <w:r>
        <w:rPr>
          <w:b/>
          <w:bCs/>
        </w:rPr>
        <w:t xml:space="preserve">contratação realizada </w:t>
      </w:r>
      <w:r>
        <w:rPr>
          <w:b/>
          <w:bCs/>
          <w:i/>
          <w:iCs/>
        </w:rPr>
        <w:t>após a entrega das obras do empreendimento em questão</w:t>
      </w:r>
      <w:r>
        <w:rPr>
          <w:b/>
          <w:bCs/>
        </w:rPr>
        <w:t xml:space="preserve">, a justificar, inclusive, alegação de má-fé da parte </w:t>
      </w:r>
      <w:r w:rsidR="003C3A10">
        <w:rPr>
          <w:b/>
          <w:bCs/>
        </w:rPr>
        <w:t>recorrente</w:t>
      </w:r>
      <w:r>
        <w:rPr>
          <w:b/>
          <w:bCs/>
        </w:rPr>
        <w:t>, porquanto inadmissível qualquer alegação de dano decorrente de atraso na entrega de obras, tese que, aliás, afigura-se incompatível com a própria natureza do programa em referência, o que precisa ser claramente esclarecido ao Juízo.</w:t>
      </w:r>
    </w:p>
    <w:p w14:paraId="1A0025F9" w14:textId="77777777" w:rsidR="002246D0" w:rsidRPr="00F96CDB" w:rsidRDefault="002246D0" w:rsidP="002246D0">
      <w:pPr>
        <w:autoSpaceDE w:val="0"/>
        <w:autoSpaceDN w:val="0"/>
        <w:adjustRightInd w:val="0"/>
        <w:spacing w:line="360" w:lineRule="auto"/>
        <w:ind w:firstLine="2127"/>
        <w:jc w:val="both"/>
        <w:rPr>
          <w:rFonts w:cs="Calibri"/>
          <w:b/>
          <w:bCs/>
          <w:sz w:val="24"/>
          <w:szCs w:val="24"/>
          <w:u w:val="single"/>
        </w:rPr>
      </w:pPr>
      <w:r w:rsidRPr="00F96CDB">
        <w:rPr>
          <w:rFonts w:cs="Calibri"/>
          <w:b/>
          <w:bCs/>
          <w:sz w:val="24"/>
          <w:szCs w:val="24"/>
          <w:u w:val="single"/>
        </w:rPr>
        <w:t xml:space="preserve">Não há o que se falar em indenização por atraso na obra em contratos do PMCMV I, quando o contrato só e firmado quando o imóvel está PRONTO para ser entregue ao beneficiário. </w:t>
      </w:r>
    </w:p>
    <w:p w14:paraId="12BD874B" w14:textId="77777777" w:rsidR="002246D0" w:rsidRPr="00F96CDB" w:rsidRDefault="002246D0" w:rsidP="002246D0">
      <w:pPr>
        <w:autoSpaceDE w:val="0"/>
        <w:autoSpaceDN w:val="0"/>
        <w:adjustRightInd w:val="0"/>
        <w:spacing w:line="360" w:lineRule="auto"/>
        <w:ind w:firstLine="2127"/>
        <w:jc w:val="both"/>
        <w:rPr>
          <w:rFonts w:cs="Calibri"/>
          <w:sz w:val="24"/>
          <w:szCs w:val="24"/>
        </w:rPr>
      </w:pPr>
      <w:r w:rsidRPr="00F96CDB">
        <w:rPr>
          <w:rFonts w:cs="Calibri"/>
          <w:sz w:val="24"/>
          <w:szCs w:val="24"/>
        </w:rPr>
        <w:t>O Programa Minha Casa Minha Vida - PMCMV foi instituído com a finalidade de criar mecanismos de incentivo à produção e à aquisição de novas unidades habitacionais pelas famílias, conforme preconizado pela Lei federal nº 11.977/09, alterada pela Lei federal nº 12.424/2011, regulamentada pelo Decreto nº 7.499/11.</w:t>
      </w:r>
    </w:p>
    <w:p w14:paraId="0BFC06D1" w14:textId="77777777" w:rsidR="002246D0" w:rsidRPr="00F96CDB" w:rsidRDefault="002246D0" w:rsidP="002246D0">
      <w:pPr>
        <w:autoSpaceDE w:val="0"/>
        <w:autoSpaceDN w:val="0"/>
        <w:adjustRightInd w:val="0"/>
        <w:spacing w:line="360" w:lineRule="auto"/>
        <w:ind w:firstLine="2127"/>
        <w:jc w:val="both"/>
        <w:rPr>
          <w:rFonts w:cs="Calibri"/>
          <w:sz w:val="24"/>
          <w:szCs w:val="24"/>
        </w:rPr>
      </w:pPr>
      <w:r w:rsidRPr="00F96CDB">
        <w:rPr>
          <w:rFonts w:cs="Calibri"/>
          <w:sz w:val="24"/>
          <w:szCs w:val="24"/>
        </w:rPr>
        <w:t>Não se deve olvidar, entretanto, que a Lei estabelece requisitos e etapas a serem cumpridas pelos cadastrados no programa. Entre elas, destaco que o contrato de financiamento somente é firmado entre o mutuário e a CEF após o sorteio dos contemplados pelo Município e análise da documentação do sorteado para fins de enquadramento nos requisitos do art. 3º da Lei 11.977/2009</w:t>
      </w:r>
    </w:p>
    <w:p w14:paraId="5E9E26BD" w14:textId="77777777" w:rsidR="002246D0" w:rsidRPr="00F96CDB" w:rsidRDefault="002246D0" w:rsidP="002246D0">
      <w:pPr>
        <w:autoSpaceDE w:val="0"/>
        <w:autoSpaceDN w:val="0"/>
        <w:adjustRightInd w:val="0"/>
        <w:spacing w:line="360" w:lineRule="auto"/>
        <w:ind w:firstLine="2127"/>
        <w:jc w:val="both"/>
        <w:rPr>
          <w:rFonts w:cs="Calibri"/>
          <w:sz w:val="24"/>
          <w:szCs w:val="24"/>
        </w:rPr>
      </w:pPr>
      <w:r w:rsidRPr="00F96CDB">
        <w:rPr>
          <w:rFonts w:cs="Calibri"/>
          <w:sz w:val="24"/>
          <w:szCs w:val="24"/>
        </w:rPr>
        <w:t>Somente a partir da assinatura do contrato é que passaria a existir ter relação jurídica com os beneficiários.</w:t>
      </w:r>
    </w:p>
    <w:p w14:paraId="7440FDF1" w14:textId="77777777" w:rsidR="002246D0" w:rsidRPr="00F96CDB" w:rsidRDefault="002246D0" w:rsidP="002246D0">
      <w:pPr>
        <w:autoSpaceDE w:val="0"/>
        <w:autoSpaceDN w:val="0"/>
        <w:adjustRightInd w:val="0"/>
        <w:spacing w:line="360" w:lineRule="auto"/>
        <w:ind w:firstLine="2127"/>
        <w:jc w:val="both"/>
        <w:rPr>
          <w:rFonts w:cs="Calibri"/>
          <w:sz w:val="24"/>
          <w:szCs w:val="24"/>
        </w:rPr>
      </w:pPr>
      <w:r w:rsidRPr="00F96CDB">
        <w:rPr>
          <w:rFonts w:cs="Calibri"/>
          <w:sz w:val="24"/>
          <w:szCs w:val="24"/>
        </w:rPr>
        <w:lastRenderedPageBreak/>
        <w:t>Logo, apenas o interesse jurídico da parte beneficiária no recebimento do imóvel nasceria apenas após ter sido comprovado o preenchimento dos requisitos legais e após contemplada com a unidade habitacional e convocada para entrega da documentação.</w:t>
      </w:r>
    </w:p>
    <w:p w14:paraId="7C5B0C38" w14:textId="77777777" w:rsidR="002246D0" w:rsidRPr="00F96CDB" w:rsidRDefault="002246D0" w:rsidP="002246D0">
      <w:pPr>
        <w:autoSpaceDE w:val="0"/>
        <w:autoSpaceDN w:val="0"/>
        <w:adjustRightInd w:val="0"/>
        <w:spacing w:line="360" w:lineRule="auto"/>
        <w:ind w:firstLine="2127"/>
        <w:jc w:val="both"/>
        <w:rPr>
          <w:rFonts w:cs="Calibri"/>
          <w:sz w:val="24"/>
          <w:szCs w:val="24"/>
        </w:rPr>
      </w:pPr>
      <w:r w:rsidRPr="00F96CDB">
        <w:rPr>
          <w:rFonts w:cs="Calibri"/>
          <w:sz w:val="24"/>
          <w:szCs w:val="24"/>
        </w:rPr>
        <w:t>O Poder Público participa do Programa a partir da assinatura do Termo de Adesão. Compete ao Ente Público encaminhar a relação dos candidatos selecionados somente após iniciada a obra e com previsão efetiva de entrega.</w:t>
      </w:r>
    </w:p>
    <w:p w14:paraId="4BF0C258" w14:textId="77777777" w:rsidR="002246D0" w:rsidRPr="00F96CDB" w:rsidRDefault="002246D0" w:rsidP="002246D0">
      <w:pPr>
        <w:autoSpaceDE w:val="0"/>
        <w:autoSpaceDN w:val="0"/>
        <w:adjustRightInd w:val="0"/>
        <w:spacing w:line="360" w:lineRule="auto"/>
        <w:ind w:firstLine="2127"/>
        <w:jc w:val="both"/>
        <w:rPr>
          <w:rFonts w:cs="Calibri"/>
          <w:sz w:val="24"/>
          <w:szCs w:val="24"/>
        </w:rPr>
      </w:pPr>
      <w:r w:rsidRPr="00F96CDB">
        <w:rPr>
          <w:rFonts w:cs="Calibri"/>
          <w:sz w:val="24"/>
          <w:szCs w:val="24"/>
        </w:rPr>
        <w:t>A relação dos candidatos encaminhada pelo ente público passa por análise da Caixa/Fundo em relação ao enquadramento dos critérios exigidos e impedimentos para aprovação. O simples encaminhamento da relação de candidatos não garante o acesso ao benefício de forma automática, pois é necessária análise e aprovação do cadastro para compor a relação de beneficiários aprovados.</w:t>
      </w:r>
    </w:p>
    <w:p w14:paraId="6E5C8980" w14:textId="77777777" w:rsidR="002246D0" w:rsidRPr="00F96CDB" w:rsidRDefault="002246D0" w:rsidP="002246D0">
      <w:pPr>
        <w:autoSpaceDE w:val="0"/>
        <w:autoSpaceDN w:val="0"/>
        <w:adjustRightInd w:val="0"/>
        <w:spacing w:line="360" w:lineRule="auto"/>
        <w:ind w:firstLine="2127"/>
        <w:jc w:val="both"/>
        <w:rPr>
          <w:rFonts w:cs="Calibri"/>
          <w:sz w:val="24"/>
          <w:szCs w:val="24"/>
        </w:rPr>
      </w:pPr>
      <w:r w:rsidRPr="00F96CDB">
        <w:rPr>
          <w:rFonts w:cs="Calibri"/>
          <w:sz w:val="24"/>
          <w:szCs w:val="24"/>
        </w:rPr>
        <w:t>A aprovação do cadastro também não é garantia de destinação do imóvel.</w:t>
      </w:r>
    </w:p>
    <w:p w14:paraId="6F13E40A" w14:textId="77777777" w:rsidR="002246D0" w:rsidRPr="00F96CDB" w:rsidRDefault="002246D0" w:rsidP="002246D0">
      <w:pPr>
        <w:autoSpaceDE w:val="0"/>
        <w:autoSpaceDN w:val="0"/>
        <w:adjustRightInd w:val="0"/>
        <w:spacing w:line="360" w:lineRule="auto"/>
        <w:ind w:firstLine="2127"/>
        <w:jc w:val="both"/>
        <w:rPr>
          <w:rFonts w:cs="Calibri"/>
          <w:sz w:val="24"/>
          <w:szCs w:val="24"/>
        </w:rPr>
      </w:pPr>
      <w:r w:rsidRPr="00F96CDB">
        <w:rPr>
          <w:rFonts w:cs="Calibri"/>
          <w:sz w:val="24"/>
          <w:szCs w:val="24"/>
        </w:rPr>
        <w:t>Geralmente os contratos são gerados somente quando da conclusão e entrega do empreendimento, quando foram assinados pelas partes, momento que inicia as suas obrigações.</w:t>
      </w:r>
    </w:p>
    <w:p w14:paraId="69204D3D" w14:textId="77777777" w:rsidR="002246D0" w:rsidRPr="00F96CDB" w:rsidRDefault="002246D0" w:rsidP="002246D0">
      <w:pPr>
        <w:autoSpaceDE w:val="0"/>
        <w:autoSpaceDN w:val="0"/>
        <w:adjustRightInd w:val="0"/>
        <w:spacing w:line="360" w:lineRule="auto"/>
        <w:ind w:firstLine="2127"/>
        <w:jc w:val="both"/>
        <w:rPr>
          <w:rFonts w:cs="Calibri"/>
          <w:b/>
          <w:bCs/>
          <w:sz w:val="24"/>
          <w:szCs w:val="24"/>
        </w:rPr>
      </w:pPr>
      <w:r>
        <w:rPr>
          <w:rFonts w:cs="Calibri"/>
          <w:sz w:val="24"/>
          <w:szCs w:val="24"/>
        </w:rPr>
        <w:t xml:space="preserve">Reza o </w:t>
      </w:r>
      <w:r w:rsidRPr="00F96CDB">
        <w:rPr>
          <w:rFonts w:cs="Calibri"/>
          <w:sz w:val="24"/>
          <w:szCs w:val="24"/>
        </w:rPr>
        <w:t>art. 3º da Lei 11.977/2009:" a Lei estabelece requisitos e etapas a serem cumpridas pelos cadastrados no programa. Entre elas, destaco que o contrato de financiamento somente é firmado entre o mutuário e a CEF após o sorteio dos contemplados pelo Município e análise da documentação do sorteado para fins de enquadramento nos requisitos do art. 3º da Lei 11.977/2009", e que </w:t>
      </w:r>
      <w:r>
        <w:rPr>
          <w:rFonts w:cs="Calibri"/>
          <w:sz w:val="24"/>
          <w:szCs w:val="24"/>
        </w:rPr>
        <w:t xml:space="preserve"> </w:t>
      </w:r>
      <w:r w:rsidRPr="00F96CDB">
        <w:rPr>
          <w:rFonts w:cs="Calibri"/>
          <w:sz w:val="24"/>
          <w:szCs w:val="24"/>
        </w:rPr>
        <w:t>"somente a partir da assinatura do contrato é que o Fundo passa a ter relação jurídica com os mutuários e isso somente se processa após a finalização da construção do imóvel</w:t>
      </w:r>
      <w:r>
        <w:rPr>
          <w:rFonts w:cs="Calibri"/>
          <w:sz w:val="24"/>
          <w:szCs w:val="24"/>
        </w:rPr>
        <w:t xml:space="preserve"> </w:t>
      </w:r>
      <w:r w:rsidRPr="00F96CDB">
        <w:rPr>
          <w:rFonts w:cs="Calibri"/>
          <w:b/>
          <w:bCs/>
          <w:sz w:val="24"/>
          <w:szCs w:val="24"/>
        </w:rPr>
        <w:t>e o fato e que apenas após o imóvel PRONTO e assinado o contrato é que o Fundo passa a ter relação jurídica com os beneficiários, e isso só ocorre após a finalização da construção do imóvel.</w:t>
      </w:r>
    </w:p>
    <w:p w14:paraId="174015DF" w14:textId="77777777" w:rsidR="002246D0" w:rsidRDefault="002246D0" w:rsidP="002246D0">
      <w:pPr>
        <w:autoSpaceDE w:val="0"/>
        <w:autoSpaceDN w:val="0"/>
        <w:adjustRightInd w:val="0"/>
        <w:spacing w:line="360" w:lineRule="auto"/>
        <w:ind w:firstLine="2127"/>
        <w:jc w:val="both"/>
        <w:rPr>
          <w:rFonts w:cs="Calibri"/>
          <w:sz w:val="24"/>
          <w:szCs w:val="24"/>
        </w:rPr>
      </w:pPr>
    </w:p>
    <w:p w14:paraId="1093D765" w14:textId="77777777" w:rsidR="002246D0" w:rsidRPr="00E42799" w:rsidRDefault="002246D0" w:rsidP="002246D0">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cs="Calibri"/>
          <w:b/>
          <w:bCs/>
          <w:sz w:val="24"/>
          <w:szCs w:val="24"/>
        </w:rPr>
      </w:pPr>
      <w:r w:rsidRPr="00E42799">
        <w:rPr>
          <w:rFonts w:cs="Calibri"/>
          <w:b/>
          <w:bCs/>
          <w:sz w:val="24"/>
          <w:szCs w:val="24"/>
        </w:rPr>
        <w:t>4.2 DA IMPOSSIBILIDADE DE APLICAÇÃO DAS NORMAS DO CDC PARA FUNDAMENTAR A RESPONSABILIDADE ATRIBUÍDA À CAIXA. PROGRAMA MINHA CASA MINHA VIDA- ENTIDADES – IMPLANTAÇÃO DE POLÍTICA PÚBLICA</w:t>
      </w:r>
    </w:p>
    <w:p w14:paraId="12BAE6D5" w14:textId="77777777" w:rsidR="002246D0" w:rsidRPr="00E42799" w:rsidRDefault="002246D0" w:rsidP="002246D0">
      <w:pPr>
        <w:autoSpaceDE w:val="0"/>
        <w:autoSpaceDN w:val="0"/>
        <w:adjustRightInd w:val="0"/>
        <w:spacing w:line="360" w:lineRule="auto"/>
        <w:jc w:val="both"/>
        <w:rPr>
          <w:rFonts w:cs="Calibri"/>
          <w:b/>
          <w:bCs/>
          <w:sz w:val="24"/>
          <w:szCs w:val="24"/>
        </w:rPr>
      </w:pPr>
    </w:p>
    <w:p w14:paraId="27362224" w14:textId="77777777" w:rsidR="002246D0" w:rsidRPr="00E42799" w:rsidRDefault="002246D0" w:rsidP="002246D0">
      <w:pPr>
        <w:autoSpaceDE w:val="0"/>
        <w:autoSpaceDN w:val="0"/>
        <w:adjustRightInd w:val="0"/>
        <w:spacing w:line="360" w:lineRule="auto"/>
        <w:ind w:firstLine="2127"/>
        <w:jc w:val="both"/>
        <w:rPr>
          <w:rFonts w:cs="Calibri"/>
          <w:sz w:val="24"/>
          <w:szCs w:val="24"/>
        </w:rPr>
      </w:pPr>
      <w:r w:rsidRPr="00E42799">
        <w:rPr>
          <w:rFonts w:cs="Calibri"/>
          <w:sz w:val="24"/>
          <w:szCs w:val="24"/>
        </w:rPr>
        <w:t xml:space="preserve">Cumpre esclarecer que a natureza jurídica do </w:t>
      </w:r>
      <w:r w:rsidRPr="00273D03">
        <w:rPr>
          <w:rFonts w:cs="Calibri"/>
          <w:b/>
          <w:bCs/>
          <w:sz w:val="24"/>
          <w:szCs w:val="24"/>
        </w:rPr>
        <w:t>Programa Minha Casa Minha Vida</w:t>
      </w:r>
      <w:r>
        <w:rPr>
          <w:rFonts w:cs="Calibri"/>
          <w:b/>
          <w:bCs/>
          <w:sz w:val="24"/>
          <w:szCs w:val="24"/>
        </w:rPr>
        <w:t xml:space="preserve"> – FAIXA I – </w:t>
      </w:r>
      <w:proofErr w:type="gramStart"/>
      <w:r>
        <w:rPr>
          <w:rFonts w:cs="Calibri"/>
          <w:b/>
          <w:bCs/>
          <w:sz w:val="24"/>
          <w:szCs w:val="24"/>
        </w:rPr>
        <w:t xml:space="preserve">FDS </w:t>
      </w:r>
      <w:r w:rsidRPr="00273D03">
        <w:rPr>
          <w:rFonts w:cs="Calibri"/>
          <w:b/>
          <w:bCs/>
          <w:sz w:val="24"/>
          <w:szCs w:val="24"/>
        </w:rPr>
        <w:t xml:space="preserve"> –</w:t>
      </w:r>
      <w:proofErr w:type="gramEnd"/>
      <w:r w:rsidRPr="00273D03">
        <w:rPr>
          <w:rFonts w:cs="Calibri"/>
          <w:b/>
          <w:bCs/>
          <w:sz w:val="24"/>
          <w:szCs w:val="24"/>
        </w:rPr>
        <w:t xml:space="preserve"> Entidades</w:t>
      </w:r>
      <w:r w:rsidRPr="00E42799">
        <w:rPr>
          <w:rFonts w:cs="Calibri"/>
          <w:sz w:val="24"/>
          <w:szCs w:val="24"/>
        </w:rPr>
        <w:t xml:space="preserve"> e de política pública de habitação do Governo Federal, não podendo ser confundido com típica relação de consumo albergada pelo CDC. </w:t>
      </w:r>
    </w:p>
    <w:p w14:paraId="62C891B9" w14:textId="77777777" w:rsidR="002246D0" w:rsidRPr="00E42799" w:rsidRDefault="002246D0" w:rsidP="002246D0">
      <w:pPr>
        <w:autoSpaceDE w:val="0"/>
        <w:autoSpaceDN w:val="0"/>
        <w:adjustRightInd w:val="0"/>
        <w:spacing w:line="360" w:lineRule="auto"/>
        <w:ind w:firstLine="2268"/>
        <w:jc w:val="both"/>
        <w:rPr>
          <w:rFonts w:cs="Calibri"/>
          <w:sz w:val="24"/>
          <w:szCs w:val="24"/>
        </w:rPr>
      </w:pPr>
    </w:p>
    <w:p w14:paraId="438B4D75" w14:textId="77777777" w:rsidR="002246D0" w:rsidRDefault="002246D0" w:rsidP="002246D0">
      <w:pPr>
        <w:autoSpaceDE w:val="0"/>
        <w:autoSpaceDN w:val="0"/>
        <w:adjustRightInd w:val="0"/>
        <w:spacing w:line="360" w:lineRule="auto"/>
        <w:ind w:firstLine="2268"/>
        <w:jc w:val="both"/>
        <w:rPr>
          <w:rFonts w:cs="Calibri"/>
          <w:sz w:val="24"/>
          <w:szCs w:val="24"/>
        </w:rPr>
      </w:pPr>
    </w:p>
    <w:p w14:paraId="522766E2" w14:textId="77777777" w:rsidR="002246D0" w:rsidRDefault="002246D0" w:rsidP="002246D0">
      <w:pPr>
        <w:autoSpaceDE w:val="0"/>
        <w:autoSpaceDN w:val="0"/>
        <w:adjustRightInd w:val="0"/>
        <w:spacing w:line="360" w:lineRule="auto"/>
        <w:ind w:firstLine="2268"/>
        <w:jc w:val="both"/>
        <w:rPr>
          <w:rFonts w:cs="Calibri"/>
          <w:sz w:val="24"/>
          <w:szCs w:val="24"/>
        </w:rPr>
      </w:pPr>
    </w:p>
    <w:p w14:paraId="4CA2BCB9" w14:textId="77777777" w:rsidR="002246D0" w:rsidRPr="00E42799" w:rsidRDefault="002246D0" w:rsidP="002246D0">
      <w:pPr>
        <w:autoSpaceDE w:val="0"/>
        <w:autoSpaceDN w:val="0"/>
        <w:adjustRightInd w:val="0"/>
        <w:spacing w:line="360" w:lineRule="auto"/>
        <w:ind w:firstLine="2268"/>
        <w:jc w:val="both"/>
        <w:rPr>
          <w:rFonts w:cs="Calibri"/>
          <w:sz w:val="24"/>
          <w:szCs w:val="24"/>
        </w:rPr>
      </w:pPr>
      <w:r w:rsidRPr="00E42799">
        <w:rPr>
          <w:rFonts w:cs="Calibri"/>
          <w:sz w:val="24"/>
          <w:szCs w:val="24"/>
        </w:rPr>
        <w:t>Contudo, no programa social em questão não há as figuras de consumidor nem fornecedor; tampouco prestador de serviços ou produtos negociados, mas apenas a entrega de um imóvel edificado com recursos públicos, mediante subsídios e subvenções, a um beneficiário assim identificado em regular processo de seleção e classificação.</w:t>
      </w:r>
    </w:p>
    <w:p w14:paraId="1A2EF022" w14:textId="77777777" w:rsidR="002246D0" w:rsidRPr="00E42799" w:rsidRDefault="002246D0" w:rsidP="002246D0">
      <w:pPr>
        <w:autoSpaceDE w:val="0"/>
        <w:autoSpaceDN w:val="0"/>
        <w:adjustRightInd w:val="0"/>
        <w:spacing w:line="360" w:lineRule="auto"/>
        <w:ind w:firstLine="2268"/>
        <w:jc w:val="both"/>
        <w:rPr>
          <w:rFonts w:cs="Calibri"/>
          <w:sz w:val="24"/>
          <w:szCs w:val="24"/>
        </w:rPr>
      </w:pPr>
    </w:p>
    <w:p w14:paraId="15BF038C" w14:textId="77777777" w:rsidR="002246D0" w:rsidRPr="00E42799" w:rsidRDefault="002246D0" w:rsidP="002246D0">
      <w:pPr>
        <w:autoSpaceDE w:val="0"/>
        <w:autoSpaceDN w:val="0"/>
        <w:adjustRightInd w:val="0"/>
        <w:spacing w:line="360" w:lineRule="auto"/>
        <w:ind w:firstLine="2268"/>
        <w:jc w:val="both"/>
        <w:rPr>
          <w:rFonts w:cs="Calibri"/>
          <w:sz w:val="24"/>
          <w:szCs w:val="24"/>
        </w:rPr>
      </w:pPr>
      <w:r w:rsidRPr="00E42799">
        <w:rPr>
          <w:rFonts w:cs="Calibri"/>
          <w:sz w:val="24"/>
          <w:szCs w:val="24"/>
        </w:rPr>
        <w:t>Por conta disso, a jurisprudência vem pacificando e corroborando o</w:t>
      </w:r>
    </w:p>
    <w:p w14:paraId="5BF7D85E" w14:textId="77777777" w:rsidR="002246D0" w:rsidRPr="00E42799" w:rsidRDefault="002246D0" w:rsidP="002246D0">
      <w:pPr>
        <w:autoSpaceDE w:val="0"/>
        <w:autoSpaceDN w:val="0"/>
        <w:adjustRightInd w:val="0"/>
        <w:spacing w:line="360" w:lineRule="auto"/>
        <w:jc w:val="both"/>
        <w:rPr>
          <w:rFonts w:cs="Calibri"/>
          <w:sz w:val="24"/>
          <w:szCs w:val="24"/>
        </w:rPr>
      </w:pPr>
      <w:r w:rsidRPr="00E42799">
        <w:rPr>
          <w:rFonts w:cs="Calibri"/>
          <w:sz w:val="24"/>
          <w:szCs w:val="24"/>
        </w:rPr>
        <w:t>entendimento de que neste tipo de ação é indevida a aplicação dos dispositivos do CDC:</w:t>
      </w:r>
    </w:p>
    <w:p w14:paraId="4E346511" w14:textId="77777777" w:rsidR="002246D0" w:rsidRPr="00E42799" w:rsidRDefault="002246D0" w:rsidP="002246D0">
      <w:pPr>
        <w:autoSpaceDE w:val="0"/>
        <w:autoSpaceDN w:val="0"/>
        <w:adjustRightInd w:val="0"/>
        <w:spacing w:line="360" w:lineRule="auto"/>
        <w:jc w:val="both"/>
        <w:rPr>
          <w:rFonts w:cs="Calibri"/>
          <w:sz w:val="24"/>
          <w:szCs w:val="24"/>
        </w:rPr>
      </w:pPr>
    </w:p>
    <w:p w14:paraId="4B160BA0" w14:textId="77777777" w:rsidR="002246D0" w:rsidRPr="00E42799" w:rsidRDefault="002246D0" w:rsidP="002246D0">
      <w:pPr>
        <w:autoSpaceDE w:val="0"/>
        <w:autoSpaceDN w:val="0"/>
        <w:adjustRightInd w:val="0"/>
        <w:spacing w:line="360" w:lineRule="auto"/>
        <w:ind w:left="2268"/>
        <w:jc w:val="both"/>
        <w:rPr>
          <w:rFonts w:cs="Calibri"/>
          <w:sz w:val="24"/>
          <w:szCs w:val="24"/>
        </w:rPr>
      </w:pPr>
      <w:r w:rsidRPr="00E42799">
        <w:rPr>
          <w:rFonts w:cs="Calibri"/>
        </w:rPr>
        <w:t>“</w:t>
      </w:r>
      <w:r w:rsidRPr="00E42799">
        <w:rPr>
          <w:rFonts w:cs="Calibri"/>
          <w:b/>
          <w:bCs/>
        </w:rPr>
        <w:t xml:space="preserve">CIVIL. PROCESSUAL CIVIL. APELAÇÃO CÍVEL. MÚTUO HABITACIONAL VINCULADO AO PMCMV. (...). NORMAS DO CDC: INAPLICABILIDADE. </w:t>
      </w:r>
      <w:r w:rsidRPr="00E42799">
        <w:rPr>
          <w:rFonts w:cs="Calibri"/>
        </w:rPr>
        <w:t xml:space="preserve">(...). 1. O Programa Minha Casa Minha Vida e regrado pela Lei no 11.977/2009 que, em seu artigo 9o, expressamente confere a CEF a gestão dos recursos destinados ao Programa Nacional de </w:t>
      </w:r>
      <w:proofErr w:type="spellStart"/>
      <w:r w:rsidRPr="00E42799">
        <w:rPr>
          <w:rFonts w:cs="Calibri"/>
        </w:rPr>
        <w:t>Habitacao</w:t>
      </w:r>
      <w:proofErr w:type="spellEnd"/>
      <w:r w:rsidRPr="00E42799">
        <w:rPr>
          <w:rFonts w:cs="Calibri"/>
        </w:rPr>
        <w:t xml:space="preserve"> Urbana - PNHU, subprograma integrante daquele. 3. O Programa Minha Casa Minha Vida - PMCMV, regido pela Lei no 11.977/2009, consubstancia-se em um programa de Governo destinado a ampliar o acesso das populações mais carentes a moradia. 4. </w:t>
      </w:r>
      <w:r w:rsidRPr="00E42799">
        <w:rPr>
          <w:rFonts w:cs="Calibri"/>
          <w:b/>
          <w:bCs/>
        </w:rPr>
        <w:t>Impossível a aplicação das normas do Código de Defesa do Consumidor aos contratos vinculados ao PMCMV, na medida em que referidos contratos não caracterizam relação de consumo nem tampouco apresentam conotação de serviço bancário, mas sim consubstanciam-se em programa habitacional custeado com recursos público</w:t>
      </w:r>
      <w:r w:rsidRPr="00E42799">
        <w:rPr>
          <w:rFonts w:cs="Calibri"/>
        </w:rPr>
        <w:t xml:space="preserve">s. Precedente. (...). Apelação parcialmente provida. (AC 00061939820124036108, Relator Desembargador </w:t>
      </w:r>
      <w:proofErr w:type="spellStart"/>
      <w:r w:rsidRPr="00E42799">
        <w:rPr>
          <w:rFonts w:cs="Calibri"/>
        </w:rPr>
        <w:t>Helio</w:t>
      </w:r>
      <w:proofErr w:type="spellEnd"/>
      <w:r w:rsidRPr="00E42799">
        <w:rPr>
          <w:rFonts w:cs="Calibri"/>
        </w:rPr>
        <w:t xml:space="preserve"> Nogueira, 3a Turma do TRF3, publicado no DJe3 de 16/05/2017). </w:t>
      </w:r>
    </w:p>
    <w:p w14:paraId="27C8D9C9" w14:textId="77777777" w:rsidR="002246D0" w:rsidRPr="00E42799" w:rsidRDefault="002246D0" w:rsidP="002246D0">
      <w:pPr>
        <w:autoSpaceDE w:val="0"/>
        <w:autoSpaceDN w:val="0"/>
        <w:adjustRightInd w:val="0"/>
        <w:spacing w:line="360" w:lineRule="auto"/>
        <w:ind w:firstLine="2268"/>
        <w:jc w:val="both"/>
        <w:rPr>
          <w:rFonts w:cs="Calibri"/>
          <w:sz w:val="24"/>
          <w:szCs w:val="24"/>
        </w:rPr>
      </w:pPr>
    </w:p>
    <w:p w14:paraId="5F57B3A2" w14:textId="77777777" w:rsidR="002246D0" w:rsidRPr="00E42799" w:rsidRDefault="002246D0" w:rsidP="002246D0">
      <w:pPr>
        <w:autoSpaceDE w:val="0"/>
        <w:autoSpaceDN w:val="0"/>
        <w:adjustRightInd w:val="0"/>
        <w:spacing w:line="360" w:lineRule="auto"/>
        <w:ind w:firstLine="2268"/>
        <w:jc w:val="both"/>
        <w:rPr>
          <w:rFonts w:cs="Calibri"/>
          <w:b/>
          <w:bCs/>
          <w:sz w:val="24"/>
          <w:szCs w:val="24"/>
        </w:rPr>
      </w:pPr>
      <w:r w:rsidRPr="00E42799">
        <w:rPr>
          <w:rFonts w:cs="Calibri"/>
          <w:sz w:val="24"/>
          <w:szCs w:val="24"/>
        </w:rPr>
        <w:t>Assim, resta evidente que eventual discussão relacionada ao programa deve ser tratada no âmbito do Direito Público</w:t>
      </w:r>
      <w:r w:rsidRPr="00E42799">
        <w:rPr>
          <w:rFonts w:cs="Calibri"/>
          <w:b/>
          <w:bCs/>
          <w:sz w:val="24"/>
          <w:szCs w:val="24"/>
        </w:rPr>
        <w:t xml:space="preserve">, afigurando-se descabido equiparar o programa social de habitação do Governo Federal direcionado às famílias de baixíssima renda com típicas relações de consumo a ensejar a aplicação do Código de Defesa do Consumidor, sem ressalvas. </w:t>
      </w:r>
    </w:p>
    <w:p w14:paraId="42932FDC" w14:textId="77777777" w:rsidR="002246D0" w:rsidRPr="00E42799" w:rsidRDefault="002246D0" w:rsidP="002246D0">
      <w:pPr>
        <w:autoSpaceDE w:val="0"/>
        <w:autoSpaceDN w:val="0"/>
        <w:adjustRightInd w:val="0"/>
        <w:spacing w:line="360" w:lineRule="auto"/>
        <w:ind w:firstLine="2268"/>
        <w:jc w:val="both"/>
        <w:rPr>
          <w:rFonts w:cs="Calibri"/>
          <w:b/>
          <w:bCs/>
          <w:sz w:val="24"/>
          <w:szCs w:val="24"/>
        </w:rPr>
      </w:pPr>
    </w:p>
    <w:p w14:paraId="239FD4E1" w14:textId="77777777" w:rsidR="002246D0" w:rsidRPr="00E42799" w:rsidRDefault="002246D0" w:rsidP="002246D0">
      <w:pPr>
        <w:autoSpaceDE w:val="0"/>
        <w:autoSpaceDN w:val="0"/>
        <w:adjustRightInd w:val="0"/>
        <w:spacing w:line="360" w:lineRule="auto"/>
        <w:ind w:firstLine="2268"/>
        <w:jc w:val="both"/>
        <w:rPr>
          <w:rFonts w:cs="Calibri"/>
          <w:b/>
          <w:bCs/>
          <w:sz w:val="24"/>
          <w:szCs w:val="24"/>
        </w:rPr>
      </w:pPr>
      <w:r w:rsidRPr="00E42799">
        <w:rPr>
          <w:rFonts w:cs="Calibri"/>
          <w:b/>
          <w:bCs/>
          <w:sz w:val="24"/>
          <w:szCs w:val="24"/>
        </w:rPr>
        <w:t xml:space="preserve">Além disso, a pretensão direta do processo é o ressarcimento do erário (recursos desembolsados pelo FDS à EO) e retomada do empreendimento habitacional. Logo, apenas </w:t>
      </w:r>
      <w:r>
        <w:rPr>
          <w:rFonts w:cs="Calibri"/>
          <w:b/>
          <w:bCs/>
          <w:sz w:val="24"/>
          <w:szCs w:val="24"/>
        </w:rPr>
        <w:t>indiretamente o objeto da lide reflete nos</w:t>
      </w:r>
      <w:r w:rsidRPr="00E42799">
        <w:rPr>
          <w:rFonts w:cs="Calibri"/>
          <w:b/>
          <w:bCs/>
          <w:sz w:val="24"/>
          <w:szCs w:val="24"/>
        </w:rPr>
        <w:t xml:space="preserve"> contratos individuais de aquisição </w:t>
      </w:r>
      <w:r>
        <w:rPr>
          <w:rFonts w:cs="Calibri"/>
          <w:b/>
          <w:bCs/>
          <w:sz w:val="24"/>
          <w:szCs w:val="24"/>
        </w:rPr>
        <w:t>dos imóveis</w:t>
      </w:r>
      <w:r w:rsidRPr="00E42799">
        <w:rPr>
          <w:rFonts w:cs="Calibri"/>
          <w:b/>
          <w:bCs/>
          <w:sz w:val="24"/>
          <w:szCs w:val="24"/>
        </w:rPr>
        <w:t>.</w:t>
      </w:r>
    </w:p>
    <w:p w14:paraId="45B679EE" w14:textId="77777777" w:rsidR="002246D0" w:rsidRPr="00E42799" w:rsidRDefault="002246D0" w:rsidP="002246D0">
      <w:pPr>
        <w:autoSpaceDE w:val="0"/>
        <w:autoSpaceDN w:val="0"/>
        <w:adjustRightInd w:val="0"/>
        <w:spacing w:line="360" w:lineRule="auto"/>
        <w:ind w:firstLine="2268"/>
        <w:jc w:val="both"/>
        <w:rPr>
          <w:rFonts w:cs="Calibri"/>
          <w:b/>
          <w:bCs/>
          <w:sz w:val="24"/>
          <w:szCs w:val="24"/>
        </w:rPr>
      </w:pPr>
    </w:p>
    <w:p w14:paraId="0470702A" w14:textId="67679C3F" w:rsidR="002246D0" w:rsidRPr="00E42799" w:rsidRDefault="002246D0" w:rsidP="002246D0">
      <w:pPr>
        <w:autoSpaceDE w:val="0"/>
        <w:autoSpaceDN w:val="0"/>
        <w:adjustRightInd w:val="0"/>
        <w:spacing w:line="360" w:lineRule="auto"/>
        <w:ind w:firstLine="2268"/>
        <w:jc w:val="both"/>
        <w:rPr>
          <w:rFonts w:cs="Calibri"/>
          <w:sz w:val="24"/>
          <w:szCs w:val="24"/>
        </w:rPr>
      </w:pPr>
      <w:r w:rsidRPr="00E42799">
        <w:rPr>
          <w:rFonts w:cs="Calibri"/>
          <w:b/>
          <w:bCs/>
          <w:sz w:val="24"/>
          <w:szCs w:val="24"/>
        </w:rPr>
        <w:t>Dessa forma, a CAIXA requer o indeferimento da responsabilidade objetiva que lhe foi atribuída pel</w:t>
      </w:r>
      <w:r>
        <w:rPr>
          <w:rFonts w:cs="Calibri"/>
          <w:b/>
          <w:bCs/>
          <w:sz w:val="24"/>
          <w:szCs w:val="24"/>
        </w:rPr>
        <w:t>a parte recorrente</w:t>
      </w:r>
      <w:r w:rsidRPr="00E42799">
        <w:rPr>
          <w:rFonts w:cs="Calibri"/>
          <w:b/>
          <w:bCs/>
          <w:sz w:val="24"/>
          <w:szCs w:val="24"/>
        </w:rPr>
        <w:t>, bem como seja afastada a aplicação da Súmula 297 ao caso em tela, tendo em vista que a pretensão da ação não diz respeito a relação de financiamento habitacional típica.</w:t>
      </w:r>
    </w:p>
    <w:p w14:paraId="688BA06C" w14:textId="77777777" w:rsidR="002246D0" w:rsidRDefault="002246D0" w:rsidP="002246D0">
      <w:pPr>
        <w:autoSpaceDE w:val="0"/>
        <w:autoSpaceDN w:val="0"/>
        <w:adjustRightInd w:val="0"/>
        <w:spacing w:line="360" w:lineRule="auto"/>
        <w:ind w:firstLine="2268"/>
        <w:jc w:val="both"/>
        <w:rPr>
          <w:rFonts w:cs="Calibri"/>
          <w:b/>
          <w:bCs/>
          <w:sz w:val="24"/>
          <w:szCs w:val="24"/>
        </w:rPr>
      </w:pPr>
    </w:p>
    <w:p w14:paraId="4F962CAB" w14:textId="3BD78BE6" w:rsidR="002246D0" w:rsidRPr="00A90019" w:rsidRDefault="002246D0" w:rsidP="002246D0">
      <w:pPr>
        <w:autoSpaceDE w:val="0"/>
        <w:autoSpaceDN w:val="0"/>
        <w:adjustRightInd w:val="0"/>
        <w:spacing w:line="360" w:lineRule="auto"/>
        <w:ind w:firstLine="2268"/>
        <w:jc w:val="both"/>
        <w:rPr>
          <w:rFonts w:cs="Calibri"/>
          <w:b/>
          <w:bCs/>
          <w:sz w:val="24"/>
          <w:szCs w:val="24"/>
        </w:rPr>
      </w:pPr>
      <w:r w:rsidRPr="00690CB6">
        <w:rPr>
          <w:rFonts w:cs="Calibri"/>
          <w:b/>
          <w:bCs/>
          <w:sz w:val="24"/>
          <w:szCs w:val="24"/>
          <w:u w:val="single"/>
        </w:rPr>
        <w:t xml:space="preserve">Salientamos ainda que, a CAIXA seja parte ilegítima para qualquer indenização por lucros cessantes/dano material e moral </w:t>
      </w:r>
      <w:r>
        <w:rPr>
          <w:rFonts w:cs="Calibri"/>
          <w:b/>
          <w:bCs/>
          <w:sz w:val="24"/>
          <w:szCs w:val="24"/>
        </w:rPr>
        <w:t>por eventual atraso de obra deve ser considerando também o julgamento que</w:t>
      </w:r>
      <w:r w:rsidRPr="00A90019">
        <w:rPr>
          <w:rFonts w:cs="Calibri"/>
          <w:b/>
          <w:bCs/>
          <w:sz w:val="24"/>
          <w:szCs w:val="24"/>
        </w:rPr>
        <w:t xml:space="preserve"> em pauta virtual ocorrida entre os dias 13.04 e 19.04, a TNU deu provimento ao PUIL 5001229-07.2019.4.04.7206 para considerar que o atraso na entrega da unidade imobiliária, por si só, não configura o dano moral </w:t>
      </w:r>
      <w:r w:rsidRPr="00F745C7">
        <w:rPr>
          <w:rFonts w:cs="Calibri"/>
          <w:b/>
          <w:bCs/>
          <w:i/>
          <w:iCs/>
          <w:sz w:val="24"/>
          <w:szCs w:val="24"/>
        </w:rPr>
        <w:t xml:space="preserve">in </w:t>
      </w:r>
      <w:proofErr w:type="spellStart"/>
      <w:r w:rsidRPr="00F745C7">
        <w:rPr>
          <w:rFonts w:cs="Calibri"/>
          <w:b/>
          <w:bCs/>
          <w:i/>
          <w:iCs/>
          <w:sz w:val="24"/>
          <w:szCs w:val="24"/>
        </w:rPr>
        <w:t>re</w:t>
      </w:r>
      <w:proofErr w:type="spellEnd"/>
      <w:r w:rsidRPr="00F745C7">
        <w:rPr>
          <w:rFonts w:cs="Calibri"/>
          <w:b/>
          <w:bCs/>
          <w:i/>
          <w:iCs/>
          <w:sz w:val="24"/>
          <w:szCs w:val="24"/>
        </w:rPr>
        <w:t xml:space="preserve"> </w:t>
      </w:r>
      <w:proofErr w:type="spellStart"/>
      <w:r w:rsidRPr="00F745C7">
        <w:rPr>
          <w:rFonts w:cs="Calibri"/>
          <w:b/>
          <w:bCs/>
          <w:i/>
          <w:iCs/>
          <w:sz w:val="24"/>
          <w:szCs w:val="24"/>
        </w:rPr>
        <w:t>ipsa</w:t>
      </w:r>
      <w:proofErr w:type="spellEnd"/>
      <w:r w:rsidRPr="00A90019">
        <w:rPr>
          <w:rFonts w:cs="Calibri"/>
          <w:b/>
          <w:bCs/>
          <w:sz w:val="24"/>
          <w:szCs w:val="24"/>
        </w:rPr>
        <w:t>.</w:t>
      </w:r>
    </w:p>
    <w:p w14:paraId="7AAB9E47" w14:textId="77777777" w:rsidR="0004661C" w:rsidRPr="002246D0" w:rsidRDefault="0004661C" w:rsidP="00396D72">
      <w:pPr>
        <w:ind w:right="426"/>
        <w:rPr>
          <w:rFonts w:asciiTheme="minorHAnsi" w:hAnsiTheme="minorHAnsi" w:cstheme="minorHAnsi"/>
        </w:rPr>
      </w:pPr>
    </w:p>
    <w:p w14:paraId="35B5E738" w14:textId="77777777" w:rsidR="0004661C" w:rsidRPr="002246D0" w:rsidRDefault="0004661C" w:rsidP="00755273">
      <w:pPr>
        <w:pStyle w:val="PargrafodaLista"/>
        <w:tabs>
          <w:tab w:val="left" w:pos="0"/>
          <w:tab w:val="left" w:pos="567"/>
        </w:tabs>
        <w:spacing w:line="320" w:lineRule="exact"/>
        <w:ind w:left="0" w:right="426"/>
        <w:jc w:val="center"/>
        <w:rPr>
          <w:rFonts w:cstheme="minorHAnsi"/>
          <w:b/>
          <w:bCs/>
          <w:smallCaps/>
          <w:sz w:val="22"/>
          <w:szCs w:val="22"/>
          <w:lang w:val="pt-BR"/>
        </w:rPr>
      </w:pPr>
      <w:r w:rsidRPr="002246D0">
        <w:rPr>
          <w:rFonts w:cstheme="minorHAnsi"/>
          <w:b/>
          <w:bCs/>
          <w:smallCaps/>
          <w:sz w:val="22"/>
          <w:szCs w:val="22"/>
          <w:u w:val="single"/>
          <w:lang w:val="pt-BR"/>
        </w:rPr>
        <w:t>Conclusão e pedidos</w:t>
      </w:r>
    </w:p>
    <w:p w14:paraId="1E742A02" w14:textId="77777777" w:rsidR="0004661C" w:rsidRPr="002246D0" w:rsidRDefault="0004661C" w:rsidP="00396D72">
      <w:pPr>
        <w:tabs>
          <w:tab w:val="left" w:pos="0"/>
          <w:tab w:val="left" w:pos="567"/>
        </w:tabs>
        <w:spacing w:line="320" w:lineRule="exact"/>
        <w:ind w:right="426"/>
        <w:jc w:val="center"/>
        <w:rPr>
          <w:rFonts w:asciiTheme="minorHAnsi" w:hAnsiTheme="minorHAnsi" w:cstheme="minorHAnsi"/>
          <w:b/>
          <w:bCs/>
          <w:smallCaps/>
        </w:rPr>
      </w:pPr>
    </w:p>
    <w:p w14:paraId="03F05BD9" w14:textId="681E3E30" w:rsidR="003E11A0" w:rsidRPr="002246D0" w:rsidRDefault="003E11A0" w:rsidP="00396D72">
      <w:pPr>
        <w:tabs>
          <w:tab w:val="left" w:pos="709"/>
        </w:tabs>
        <w:spacing w:line="320" w:lineRule="exact"/>
        <w:ind w:right="426"/>
        <w:jc w:val="both"/>
        <w:rPr>
          <w:rFonts w:asciiTheme="minorHAnsi" w:hAnsiTheme="minorHAnsi" w:cstheme="minorHAnsi"/>
        </w:rPr>
      </w:pPr>
      <w:r w:rsidRPr="002246D0">
        <w:rPr>
          <w:rFonts w:asciiTheme="minorHAnsi" w:hAnsiTheme="minorHAnsi" w:cstheme="minorHAnsi"/>
        </w:rPr>
        <w:tab/>
      </w:r>
      <w:r w:rsidR="009313CE" w:rsidRPr="002246D0">
        <w:rPr>
          <w:rFonts w:asciiTheme="minorHAnsi" w:hAnsiTheme="minorHAnsi" w:cstheme="minorHAnsi"/>
        </w:rPr>
        <w:tab/>
        <w:t xml:space="preserve">Por todo o exposto, requer a recorrida seja </w:t>
      </w:r>
      <w:r w:rsidR="009313CE" w:rsidRPr="002246D0">
        <w:rPr>
          <w:rFonts w:asciiTheme="minorHAnsi" w:hAnsiTheme="minorHAnsi" w:cstheme="minorHAnsi"/>
          <w:b/>
          <w:bCs/>
          <w:u w:val="single"/>
        </w:rPr>
        <w:t>negado provimento</w:t>
      </w:r>
      <w:r w:rsidR="009313CE" w:rsidRPr="002246D0">
        <w:rPr>
          <w:rFonts w:asciiTheme="minorHAnsi" w:hAnsiTheme="minorHAnsi" w:cstheme="minorHAnsi"/>
        </w:rPr>
        <w:t xml:space="preserve"> ao recurso ora combatido, de modo que seja negado o pedido deduzido, </w:t>
      </w:r>
      <w:r w:rsidR="00CE3BEF" w:rsidRPr="002246D0">
        <w:rPr>
          <w:rFonts w:asciiTheme="minorHAnsi" w:hAnsiTheme="minorHAnsi" w:cstheme="minorHAnsi"/>
        </w:rPr>
        <w:t xml:space="preserve">mantendo-se </w:t>
      </w:r>
      <w:r w:rsidR="00CE3BEF" w:rsidRPr="002246D0">
        <w:rPr>
          <w:rFonts w:asciiTheme="minorHAnsi" w:hAnsiTheme="minorHAnsi" w:cstheme="minorHAnsi"/>
          <w:i/>
          <w:iCs/>
        </w:rPr>
        <w:t xml:space="preserve">in </w:t>
      </w:r>
      <w:proofErr w:type="spellStart"/>
      <w:r w:rsidR="00CE3BEF" w:rsidRPr="002246D0">
        <w:rPr>
          <w:rFonts w:asciiTheme="minorHAnsi" w:hAnsiTheme="minorHAnsi" w:cstheme="minorHAnsi"/>
          <w:i/>
          <w:iCs/>
        </w:rPr>
        <w:t>totum</w:t>
      </w:r>
      <w:proofErr w:type="spellEnd"/>
      <w:r w:rsidR="00CE3BEF" w:rsidRPr="002246D0">
        <w:rPr>
          <w:rFonts w:asciiTheme="minorHAnsi" w:hAnsiTheme="minorHAnsi" w:cstheme="minorHAnsi"/>
        </w:rPr>
        <w:t xml:space="preserve"> a r. sentença de improcedência.</w:t>
      </w:r>
    </w:p>
    <w:p w14:paraId="1D67A2C1" w14:textId="5D9F156D" w:rsidR="009313CE" w:rsidRPr="002246D0" w:rsidRDefault="00755273" w:rsidP="009313CE">
      <w:pPr>
        <w:pStyle w:val="PargrafodaLista"/>
        <w:tabs>
          <w:tab w:val="left" w:pos="709"/>
        </w:tabs>
        <w:spacing w:line="320" w:lineRule="exact"/>
        <w:ind w:left="0" w:right="426"/>
        <w:jc w:val="both"/>
        <w:rPr>
          <w:rFonts w:cstheme="minorHAnsi"/>
          <w:sz w:val="22"/>
          <w:szCs w:val="22"/>
          <w:lang w:val="pt-BR"/>
        </w:rPr>
      </w:pPr>
      <w:r w:rsidRPr="002246D0">
        <w:rPr>
          <w:rFonts w:cstheme="minorHAnsi"/>
          <w:sz w:val="22"/>
          <w:szCs w:val="22"/>
          <w:lang w:val="pt-BR"/>
        </w:rPr>
        <w:tab/>
      </w:r>
      <w:r w:rsidR="009313CE" w:rsidRPr="002246D0">
        <w:rPr>
          <w:rFonts w:cstheme="minorHAnsi"/>
          <w:sz w:val="22"/>
          <w:szCs w:val="22"/>
          <w:lang w:val="pt-BR"/>
        </w:rPr>
        <w:t>Pugna a parte recorrida pela</w:t>
      </w:r>
      <w:r w:rsidR="00CE3BEF" w:rsidRPr="002246D0">
        <w:rPr>
          <w:rFonts w:cstheme="minorHAnsi"/>
          <w:sz w:val="22"/>
          <w:szCs w:val="22"/>
          <w:lang w:val="pt-BR"/>
        </w:rPr>
        <w:t xml:space="preserve"> majoração da</w:t>
      </w:r>
      <w:r w:rsidR="009313CE" w:rsidRPr="002246D0">
        <w:rPr>
          <w:rFonts w:cstheme="minorHAnsi"/>
          <w:sz w:val="22"/>
          <w:szCs w:val="22"/>
          <w:lang w:val="pt-BR"/>
        </w:rPr>
        <w:t xml:space="preserve"> condenação da parte recorrente em custas e honorários do advogado.</w:t>
      </w:r>
    </w:p>
    <w:p w14:paraId="2C2FCA57" w14:textId="77777777" w:rsidR="003E11A0" w:rsidRPr="002246D0" w:rsidRDefault="003E11A0" w:rsidP="00396D72">
      <w:pPr>
        <w:pStyle w:val="PargrafodaLista"/>
        <w:ind w:right="426"/>
        <w:rPr>
          <w:rFonts w:cstheme="minorHAnsi"/>
          <w:sz w:val="22"/>
          <w:szCs w:val="22"/>
        </w:rPr>
      </w:pPr>
    </w:p>
    <w:p w14:paraId="3360DB25" w14:textId="3819EB60" w:rsidR="00551589" w:rsidRPr="002246D0" w:rsidRDefault="003E11A0" w:rsidP="00551589">
      <w:pPr>
        <w:spacing w:before="200" w:after="200" w:line="240" w:lineRule="auto"/>
        <w:jc w:val="both"/>
        <w:rPr>
          <w:rFonts w:asciiTheme="minorHAnsi" w:hAnsiTheme="minorHAnsi" w:cstheme="minorHAnsi"/>
          <w:b/>
          <w:bCs/>
          <w:noProof/>
          <w:u w:val="single"/>
        </w:rPr>
      </w:pPr>
      <w:r w:rsidRPr="002246D0">
        <w:rPr>
          <w:rFonts w:asciiTheme="minorHAnsi" w:hAnsiTheme="minorHAnsi" w:cstheme="minorHAnsi"/>
        </w:rPr>
        <w:tab/>
      </w:r>
      <w:r w:rsidR="00551589" w:rsidRPr="002246D0">
        <w:rPr>
          <w:rFonts w:asciiTheme="minorHAnsi" w:hAnsiTheme="minorHAnsi" w:cstheme="minorHAnsi"/>
          <w:noProof/>
        </w:rPr>
        <w:t xml:space="preserve">Requer a recorrida que todas as intimações sejam encaminhadas ao escritório de seus patronos, sito na Rua do Passeio, 38, Torre 2, 15 andar, Sala 1509/1512 – Centro - CEP:20021-290 – RJ – Rio de Janeiro e que as publicações sejam realizadas, exclusivamente, em nome do patrono </w:t>
      </w:r>
      <w:r w:rsidR="00551589" w:rsidRPr="002246D0">
        <w:rPr>
          <w:rFonts w:asciiTheme="minorHAnsi" w:hAnsiTheme="minorHAnsi" w:cstheme="minorHAnsi"/>
          <w:b/>
          <w:bCs/>
          <w:noProof/>
          <w:u w:val="single"/>
        </w:rPr>
        <w:t>Dr. JOÃO ALVES BARBOSA FILHO, inscrito sob o nº OAB/RS 90657-A, sob pena de nulidade das mesmas.</w:t>
      </w:r>
    </w:p>
    <w:p w14:paraId="602C7411" w14:textId="25C3E9CB" w:rsidR="004C7639" w:rsidRPr="002246D0" w:rsidRDefault="004C7639" w:rsidP="00396D72">
      <w:pPr>
        <w:pStyle w:val="PargrafodaLista"/>
        <w:tabs>
          <w:tab w:val="left" w:pos="709"/>
        </w:tabs>
        <w:spacing w:line="320" w:lineRule="exact"/>
        <w:ind w:left="0" w:right="426"/>
        <w:jc w:val="both"/>
        <w:rPr>
          <w:rFonts w:cstheme="minorHAnsi"/>
          <w:sz w:val="22"/>
          <w:szCs w:val="22"/>
        </w:rPr>
      </w:pPr>
    </w:p>
    <w:p w14:paraId="76681355" w14:textId="3D6EEDE2" w:rsidR="004C7639" w:rsidRPr="002246D0" w:rsidRDefault="004C7639" w:rsidP="00396D72">
      <w:pPr>
        <w:spacing w:before="200" w:after="200" w:line="240" w:lineRule="auto"/>
        <w:ind w:right="426"/>
        <w:jc w:val="center"/>
        <w:rPr>
          <w:rFonts w:asciiTheme="minorHAnsi" w:eastAsiaTheme="minorEastAsia" w:hAnsiTheme="minorHAnsi" w:cstheme="minorHAnsi"/>
          <w:lang w:eastAsia="ja-JP"/>
        </w:rPr>
      </w:pPr>
      <w:r w:rsidRPr="002246D0">
        <w:rPr>
          <w:rFonts w:asciiTheme="minorHAnsi" w:eastAsiaTheme="minorEastAsia" w:hAnsiTheme="minorHAnsi" w:cstheme="minorHAnsi"/>
          <w:lang w:eastAsia="ja-JP"/>
        </w:rPr>
        <w:t>Nestes Termos,</w:t>
      </w:r>
      <w:r w:rsidRPr="002246D0">
        <w:rPr>
          <w:rFonts w:asciiTheme="minorHAnsi" w:eastAsiaTheme="minorEastAsia" w:hAnsiTheme="minorHAnsi" w:cstheme="minorHAnsi"/>
          <w:lang w:eastAsia="ja-JP"/>
        </w:rPr>
        <w:br/>
        <w:t> Pede Deferimento,</w:t>
      </w:r>
    </w:p>
    <w:p w14:paraId="11BA9C11" w14:textId="274FFCD2" w:rsidR="004C7639" w:rsidRPr="002246D0" w:rsidRDefault="004C7639" w:rsidP="00396D72">
      <w:pPr>
        <w:spacing w:before="200" w:after="200" w:line="240" w:lineRule="auto"/>
        <w:ind w:right="426"/>
        <w:jc w:val="center"/>
        <w:rPr>
          <w:rFonts w:asciiTheme="minorHAnsi" w:eastAsiaTheme="minorEastAsia" w:hAnsiTheme="minorHAnsi" w:cstheme="minorHAnsi"/>
          <w:lang w:eastAsia="ja-JP"/>
        </w:rPr>
      </w:pPr>
      <w:r w:rsidRPr="002246D0">
        <w:rPr>
          <w:rFonts w:asciiTheme="minorHAnsi" w:eastAsiaTheme="minorEastAsia" w:hAnsiTheme="minorHAnsi" w:cstheme="minorHAnsi"/>
          <w:lang w:eastAsia="ja-JP"/>
        </w:rPr>
        <w:br/>
      </w:r>
      <w:r w:rsidR="003C3A10">
        <w:rPr>
          <w:rFonts w:asciiTheme="minorHAnsi" w:eastAsiaTheme="minorEastAsia" w:hAnsiTheme="minorHAnsi" w:cstheme="minorHAnsi"/>
          <w:lang w:eastAsia="ja-JP"/>
        </w:rPr>
        <w:t>BENTO GONÇALVES</w:t>
      </w:r>
      <w:r w:rsidRPr="002246D0">
        <w:rPr>
          <w:rFonts w:asciiTheme="minorHAnsi" w:eastAsiaTheme="minorEastAsia" w:hAnsiTheme="minorHAnsi" w:cstheme="minorHAnsi"/>
          <w:lang w:eastAsia="ja-JP"/>
        </w:rPr>
        <w:t xml:space="preserve">, </w:t>
      </w:r>
      <w:r w:rsidR="00551589" w:rsidRPr="002246D0">
        <w:rPr>
          <w:rFonts w:asciiTheme="minorHAnsi" w:eastAsiaTheme="minorEastAsia" w:hAnsiTheme="minorHAnsi" w:cstheme="minorHAnsi"/>
          <w:lang w:eastAsia="ja-JP"/>
        </w:rPr>
        <w:t>0</w:t>
      </w:r>
      <w:r w:rsidR="003C3A10">
        <w:rPr>
          <w:rFonts w:asciiTheme="minorHAnsi" w:eastAsiaTheme="minorEastAsia" w:hAnsiTheme="minorHAnsi" w:cstheme="minorHAnsi"/>
          <w:lang w:eastAsia="ja-JP"/>
        </w:rPr>
        <w:t>4</w:t>
      </w:r>
      <w:r w:rsidRPr="002246D0">
        <w:rPr>
          <w:rFonts w:asciiTheme="minorHAnsi" w:eastAsiaTheme="minorEastAsia" w:hAnsiTheme="minorHAnsi" w:cstheme="minorHAnsi"/>
          <w:lang w:eastAsia="ja-JP"/>
        </w:rPr>
        <w:t xml:space="preserve"> de </w:t>
      </w:r>
      <w:proofErr w:type="gramStart"/>
      <w:r w:rsidR="003C3A10">
        <w:rPr>
          <w:rFonts w:asciiTheme="minorHAnsi" w:eastAsiaTheme="minorEastAsia" w:hAnsiTheme="minorHAnsi" w:cstheme="minorHAnsi"/>
          <w:lang w:eastAsia="ja-JP"/>
        </w:rPr>
        <w:t>Agosto</w:t>
      </w:r>
      <w:proofErr w:type="gramEnd"/>
      <w:r w:rsidRPr="002246D0">
        <w:rPr>
          <w:rFonts w:asciiTheme="minorHAnsi" w:eastAsiaTheme="minorEastAsia" w:hAnsiTheme="minorHAnsi" w:cstheme="minorHAnsi"/>
          <w:lang w:eastAsia="ja-JP"/>
        </w:rPr>
        <w:t xml:space="preserve"> de 2023.</w:t>
      </w:r>
    </w:p>
    <w:p w14:paraId="2AE38B69" w14:textId="0E1E0CEE" w:rsidR="004C7639" w:rsidRPr="002246D0" w:rsidRDefault="004C7639" w:rsidP="00551589">
      <w:pPr>
        <w:spacing w:before="200" w:after="200" w:line="240" w:lineRule="auto"/>
        <w:ind w:right="426"/>
        <w:jc w:val="center"/>
        <w:rPr>
          <w:rFonts w:asciiTheme="minorHAnsi" w:hAnsiTheme="minorHAnsi" w:cstheme="minorHAnsi"/>
        </w:rPr>
      </w:pPr>
      <w:r w:rsidRPr="002246D0">
        <w:rPr>
          <w:rFonts w:asciiTheme="minorHAnsi" w:eastAsiaTheme="minorEastAsia" w:hAnsiTheme="minorHAnsi" w:cstheme="minorHAnsi"/>
          <w:lang w:eastAsia="ja-JP"/>
        </w:rPr>
        <w:br/>
      </w:r>
      <w:r w:rsidR="00551589" w:rsidRPr="002246D0">
        <w:rPr>
          <w:rFonts w:asciiTheme="minorHAnsi" w:hAnsiTheme="minorHAnsi" w:cstheme="minorHAnsi"/>
          <w:b/>
          <w:bCs/>
        </w:rPr>
        <w:t>JOÃO BARBOSA</w:t>
      </w:r>
      <w:r w:rsidR="00551589" w:rsidRPr="002246D0">
        <w:rPr>
          <w:rFonts w:asciiTheme="minorHAnsi" w:hAnsiTheme="minorHAnsi" w:cstheme="minorHAnsi"/>
          <w:b/>
          <w:bCs/>
        </w:rPr>
        <w:br/>
        <w:t>OAB/RS 90657-A</w:t>
      </w:r>
    </w:p>
    <w:p w14:paraId="7A17B87E" w14:textId="77777777" w:rsidR="004C7639" w:rsidRPr="002246D0" w:rsidRDefault="004C7639" w:rsidP="004C7639">
      <w:pPr>
        <w:spacing w:before="200" w:after="200" w:line="240" w:lineRule="auto"/>
        <w:jc w:val="both"/>
        <w:rPr>
          <w:rFonts w:asciiTheme="minorHAnsi" w:hAnsiTheme="minorHAnsi" w:cstheme="minorHAnsi"/>
        </w:rPr>
      </w:pPr>
    </w:p>
    <w:p w14:paraId="60DCF190" w14:textId="0C354106" w:rsidR="00FA2C18" w:rsidRPr="002246D0" w:rsidRDefault="005941C5" w:rsidP="00E962C2">
      <w:pPr>
        <w:spacing w:before="200" w:after="200" w:line="240" w:lineRule="auto"/>
        <w:jc w:val="both"/>
        <w:rPr>
          <w:rFonts w:asciiTheme="minorHAnsi" w:hAnsiTheme="minorHAnsi" w:cstheme="minorHAnsi"/>
        </w:rPr>
      </w:pPr>
      <w:r w:rsidRPr="002246D0">
        <w:rPr>
          <w:rFonts w:asciiTheme="minorHAnsi" w:hAnsiTheme="minorHAnsi" w:cstheme="minorHAnsi"/>
        </w:rPr>
        <w:t> </w:t>
      </w:r>
    </w:p>
    <w:sectPr w:rsidR="00FA2C18" w:rsidRPr="002246D0" w:rsidSect="0076787A">
      <w:footerReference w:type="default" r:id="rId14"/>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0865C" w14:textId="77777777" w:rsidR="006B7FB3" w:rsidRDefault="006B7FB3">
      <w:pPr>
        <w:spacing w:after="0" w:line="240" w:lineRule="auto"/>
      </w:pPr>
      <w:r>
        <w:separator/>
      </w:r>
    </w:p>
  </w:endnote>
  <w:endnote w:type="continuationSeparator" w:id="0">
    <w:p w14:paraId="40FA8E80" w14:textId="77777777" w:rsidR="006B7FB3" w:rsidRDefault="006B7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13502" w14:textId="77777777" w:rsidR="00FA2C18" w:rsidRDefault="005941C5" w:rsidP="00FE5317">
    <w:pPr>
      <w:pStyle w:val="Rodap"/>
      <w:jc w:val="center"/>
      <w:rPr>
        <w:sz w:val="18"/>
      </w:rPr>
    </w:pPr>
    <w:r w:rsidRPr="00FA2C18">
      <w:rPr>
        <w:sz w:val="18"/>
      </w:rPr>
      <w:t>Rua do Passeio, 38, Torre 2, 15º andar - Sala 1509/1512 – Centro - RJ – Rio de Janeiro - CEP:20021-290</w:t>
    </w:r>
  </w:p>
  <w:p w14:paraId="2F8B6DF0" w14:textId="77777777" w:rsidR="00FE5317" w:rsidRPr="00FE5317" w:rsidRDefault="005941C5" w:rsidP="00FE5317">
    <w:pPr>
      <w:pStyle w:val="Rodap"/>
      <w:jc w:val="center"/>
      <w:rPr>
        <w:sz w:val="18"/>
      </w:rPr>
    </w:pPr>
    <w:r w:rsidRPr="00FE5317">
      <w:rPr>
        <w:sz w:val="18"/>
      </w:rPr>
      <w:t>www.joaobarbosaadvass.com.br</w:t>
    </w:r>
  </w:p>
  <w:p w14:paraId="13054C5C"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5864E" w14:textId="77777777" w:rsidR="006B7FB3" w:rsidRDefault="006B7FB3">
      <w:pPr>
        <w:spacing w:after="0" w:line="240" w:lineRule="auto"/>
      </w:pPr>
      <w:r>
        <w:separator/>
      </w:r>
    </w:p>
  </w:footnote>
  <w:footnote w:type="continuationSeparator" w:id="0">
    <w:p w14:paraId="779438F1" w14:textId="77777777" w:rsidR="006B7FB3" w:rsidRDefault="006B7F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27034FC"/>
    <w:multiLevelType w:val="hybridMultilevel"/>
    <w:tmpl w:val="13B6A5B4"/>
    <w:lvl w:ilvl="0" w:tplc="D70ED4AA">
      <w:start w:val="1"/>
      <w:numFmt w:val="upperRoman"/>
      <w:lvlText w:val="%1."/>
      <w:lvlJc w:val="left"/>
      <w:pPr>
        <w:ind w:left="2989"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num w:numId="1" w16cid:durableId="1726295237">
    <w:abstractNumId w:val="1"/>
  </w:num>
  <w:num w:numId="2" w16cid:durableId="1010985544">
    <w:abstractNumId w:val="0"/>
  </w:num>
  <w:num w:numId="3" w16cid:durableId="1021513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4661C"/>
    <w:rsid w:val="000C60A8"/>
    <w:rsid w:val="001F73C4"/>
    <w:rsid w:val="002246D0"/>
    <w:rsid w:val="00255B3C"/>
    <w:rsid w:val="00320DCE"/>
    <w:rsid w:val="00326B23"/>
    <w:rsid w:val="003349B7"/>
    <w:rsid w:val="0037684E"/>
    <w:rsid w:val="00387F34"/>
    <w:rsid w:val="00396D72"/>
    <w:rsid w:val="003C3A10"/>
    <w:rsid w:val="003E11A0"/>
    <w:rsid w:val="003F5DCE"/>
    <w:rsid w:val="00404C94"/>
    <w:rsid w:val="00486EBB"/>
    <w:rsid w:val="004C1027"/>
    <w:rsid w:val="004C7639"/>
    <w:rsid w:val="0052134B"/>
    <w:rsid w:val="00530F86"/>
    <w:rsid w:val="00551589"/>
    <w:rsid w:val="005663F9"/>
    <w:rsid w:val="005869BC"/>
    <w:rsid w:val="005941C5"/>
    <w:rsid w:val="005A5474"/>
    <w:rsid w:val="005D4224"/>
    <w:rsid w:val="005E226B"/>
    <w:rsid w:val="00654BB2"/>
    <w:rsid w:val="00673F32"/>
    <w:rsid w:val="006B5371"/>
    <w:rsid w:val="006B7FB3"/>
    <w:rsid w:val="006F66E3"/>
    <w:rsid w:val="006F7A6B"/>
    <w:rsid w:val="00701612"/>
    <w:rsid w:val="00755273"/>
    <w:rsid w:val="0076787A"/>
    <w:rsid w:val="007A7F4C"/>
    <w:rsid w:val="007E1F86"/>
    <w:rsid w:val="00861286"/>
    <w:rsid w:val="00873596"/>
    <w:rsid w:val="00874FFE"/>
    <w:rsid w:val="008765E4"/>
    <w:rsid w:val="008B00C4"/>
    <w:rsid w:val="008E1AB2"/>
    <w:rsid w:val="008F4CF5"/>
    <w:rsid w:val="009313CE"/>
    <w:rsid w:val="00956E0D"/>
    <w:rsid w:val="00965291"/>
    <w:rsid w:val="009D3C6C"/>
    <w:rsid w:val="009E3B76"/>
    <w:rsid w:val="00C81778"/>
    <w:rsid w:val="00CC074C"/>
    <w:rsid w:val="00CE3BEF"/>
    <w:rsid w:val="00DA4388"/>
    <w:rsid w:val="00E015EA"/>
    <w:rsid w:val="00E67247"/>
    <w:rsid w:val="00E962C2"/>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94B"/>
  <w15:docId w15:val="{A173964C-702F-4378-9A92-F2209F7B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2">
    <w:name w:val="heading 2"/>
    <w:basedOn w:val="Normal"/>
    <w:next w:val="Corpodetexto"/>
    <w:link w:val="Ttulo2Char"/>
    <w:uiPriority w:val="9"/>
    <w:unhideWhenUsed/>
    <w:qFormat/>
    <w:rsid w:val="004C7639"/>
    <w:pPr>
      <w:keepNext/>
      <w:widowControl w:val="0"/>
      <w:suppressAutoHyphens/>
      <w:spacing w:before="397" w:after="397" w:line="360" w:lineRule="auto"/>
      <w:jc w:val="both"/>
      <w:outlineLvl w:val="1"/>
    </w:pPr>
    <w:rPr>
      <w:rFonts w:ascii="Times New Roman" w:eastAsia="Times New Roman" w:hAnsi="Times New Roman"/>
      <w:b/>
      <w:bCs/>
      <w:sz w:val="24"/>
      <w:szCs w:val="24"/>
      <w:lang w:eastAsia="zh-CN" w:bidi="hi-I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paragraph" w:styleId="NormalWeb">
    <w:name w:val="Normal (Web)"/>
    <w:basedOn w:val="Normal"/>
    <w:uiPriority w:val="99"/>
    <w:unhideWhenUsed/>
    <w:rsid w:val="005941C5"/>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8B0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4C7639"/>
    <w:rPr>
      <w:rFonts w:ascii="Times New Roman" w:eastAsia="Times New Roman" w:hAnsi="Times New Roman"/>
      <w:b/>
      <w:bCs/>
      <w:sz w:val="24"/>
      <w:szCs w:val="24"/>
      <w:lang w:eastAsia="zh-CN" w:bidi="hi-IN"/>
    </w:rPr>
  </w:style>
  <w:style w:type="paragraph" w:styleId="Corpodetexto">
    <w:name w:val="Body Text"/>
    <w:basedOn w:val="Normal"/>
    <w:link w:val="CorpodetextoChar"/>
    <w:rsid w:val="004C7639"/>
    <w:pPr>
      <w:widowControl w:val="0"/>
      <w:suppressAutoHyphens/>
      <w:spacing w:before="397" w:after="397" w:line="360" w:lineRule="auto"/>
      <w:jc w:val="both"/>
    </w:pPr>
    <w:rPr>
      <w:rFonts w:ascii="Times New Roman" w:eastAsia="Times New Roman" w:hAnsi="Times New Roman"/>
      <w:sz w:val="24"/>
      <w:szCs w:val="24"/>
      <w:lang w:eastAsia="zh-CN" w:bidi="hi-IN"/>
    </w:rPr>
  </w:style>
  <w:style w:type="character" w:customStyle="1" w:styleId="CorpodetextoChar">
    <w:name w:val="Corpo de texto Char"/>
    <w:basedOn w:val="Fontepargpadro"/>
    <w:link w:val="Corpodetexto"/>
    <w:rsid w:val="004C7639"/>
    <w:rPr>
      <w:rFonts w:ascii="Times New Roman" w:eastAsia="Times New Roman" w:hAnsi="Times New Roman"/>
      <w:sz w:val="24"/>
      <w:szCs w:val="24"/>
      <w:lang w:eastAsia="zh-CN" w:bidi="hi-IN"/>
    </w:rPr>
  </w:style>
  <w:style w:type="paragraph" w:styleId="PargrafodaLista">
    <w:name w:val="List Paragraph"/>
    <w:basedOn w:val="Normal"/>
    <w:link w:val="PargrafodaListaChar"/>
    <w:uiPriority w:val="34"/>
    <w:qFormat/>
    <w:rsid w:val="0004661C"/>
    <w:pPr>
      <w:spacing w:after="0" w:line="240" w:lineRule="auto"/>
      <w:ind w:left="720"/>
      <w:contextualSpacing/>
    </w:pPr>
    <w:rPr>
      <w:rFonts w:asciiTheme="minorHAnsi" w:eastAsiaTheme="minorEastAsia" w:hAnsiTheme="minorHAnsi" w:cstheme="minorBidi"/>
      <w:sz w:val="24"/>
      <w:szCs w:val="24"/>
      <w:lang w:val="en-US" w:eastAsia="ja-JP"/>
    </w:rPr>
  </w:style>
  <w:style w:type="paragraph" w:styleId="Textodenotaderodap">
    <w:name w:val="footnote text"/>
    <w:basedOn w:val="Normal"/>
    <w:link w:val="TextodenotaderodapChar"/>
    <w:uiPriority w:val="99"/>
    <w:unhideWhenUsed/>
    <w:rsid w:val="0004661C"/>
    <w:pPr>
      <w:spacing w:after="0" w:line="240" w:lineRule="auto"/>
    </w:pPr>
    <w:rPr>
      <w:rFonts w:asciiTheme="minorHAnsi" w:eastAsiaTheme="minorEastAsia" w:hAnsiTheme="minorHAnsi" w:cstheme="minorBidi"/>
      <w:sz w:val="20"/>
      <w:szCs w:val="20"/>
      <w:lang w:val="en-US" w:eastAsia="ja-JP"/>
    </w:rPr>
  </w:style>
  <w:style w:type="character" w:customStyle="1" w:styleId="TextodenotaderodapChar">
    <w:name w:val="Texto de nota de rodapé Char"/>
    <w:basedOn w:val="Fontepargpadro"/>
    <w:link w:val="Textodenotaderodap"/>
    <w:uiPriority w:val="99"/>
    <w:rsid w:val="0004661C"/>
    <w:rPr>
      <w:rFonts w:asciiTheme="minorHAnsi" w:eastAsiaTheme="minorEastAsia" w:hAnsiTheme="minorHAnsi" w:cstheme="minorBidi"/>
      <w:lang w:val="en-US" w:eastAsia="ja-JP"/>
    </w:rPr>
  </w:style>
  <w:style w:type="character" w:styleId="Refdenotaderodap">
    <w:name w:val="footnote reference"/>
    <w:aliases w:val="sobrescrito,Referência de rodapé"/>
    <w:basedOn w:val="Fontepargpadro"/>
    <w:unhideWhenUsed/>
    <w:rsid w:val="0004661C"/>
    <w:rPr>
      <w:vertAlign w:val="superscript"/>
    </w:rPr>
  </w:style>
  <w:style w:type="character" w:customStyle="1" w:styleId="PargrafodaListaChar">
    <w:name w:val="Parágrafo da Lista Char"/>
    <w:link w:val="PargrafodaLista"/>
    <w:uiPriority w:val="34"/>
    <w:qFormat/>
    <w:rsid w:val="002246D0"/>
    <w:rPr>
      <w:rFonts w:asciiTheme="minorHAnsi" w:eastAsiaTheme="minorEastAsia" w:hAnsiTheme="minorHAnsi" w:cstheme="minorBidi"/>
      <w:sz w:val="24"/>
      <w:szCs w:val="24"/>
      <w:lang w:val="en-US" w:eastAsia="ja-JP"/>
    </w:rPr>
  </w:style>
  <w:style w:type="character" w:customStyle="1" w:styleId="hgkelc">
    <w:name w:val="hgkelc"/>
    <w:rsid w:val="00224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91675">
      <w:bodyDiv w:val="1"/>
      <w:marLeft w:val="0"/>
      <w:marRight w:val="0"/>
      <w:marTop w:val="0"/>
      <w:marBottom w:val="0"/>
      <w:divBdr>
        <w:top w:val="none" w:sz="0" w:space="0" w:color="auto"/>
        <w:left w:val="none" w:sz="0" w:space="0" w:color="auto"/>
        <w:bottom w:val="none" w:sz="0" w:space="0" w:color="auto"/>
        <w:right w:val="none" w:sz="0" w:space="0" w:color="auto"/>
      </w:divBdr>
    </w:div>
    <w:div w:id="238296644">
      <w:bodyDiv w:val="1"/>
      <w:marLeft w:val="0"/>
      <w:marRight w:val="0"/>
      <w:marTop w:val="0"/>
      <w:marBottom w:val="0"/>
      <w:divBdr>
        <w:top w:val="none" w:sz="0" w:space="0" w:color="auto"/>
        <w:left w:val="none" w:sz="0" w:space="0" w:color="auto"/>
        <w:bottom w:val="none" w:sz="0" w:space="0" w:color="auto"/>
        <w:right w:val="none" w:sz="0" w:space="0" w:color="auto"/>
      </w:divBdr>
    </w:div>
    <w:div w:id="554700837">
      <w:bodyDiv w:val="1"/>
      <w:marLeft w:val="0"/>
      <w:marRight w:val="0"/>
      <w:marTop w:val="0"/>
      <w:marBottom w:val="0"/>
      <w:divBdr>
        <w:top w:val="none" w:sz="0" w:space="0" w:color="auto"/>
        <w:left w:val="none" w:sz="0" w:space="0" w:color="auto"/>
        <w:bottom w:val="none" w:sz="0" w:space="0" w:color="auto"/>
        <w:right w:val="none" w:sz="0" w:space="0" w:color="auto"/>
      </w:divBdr>
    </w:div>
    <w:div w:id="703678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4684</Words>
  <Characters>25296</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2023-08-04T22:05:00Z</dcterms:created>
  <dcterms:modified xsi:type="dcterms:W3CDTF">2023-08-04T22:05:00Z</dcterms:modified>
</cp:coreProperties>
</file>