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95E83" w14:textId="720C451D" w:rsidR="00DA4388" w:rsidRDefault="00DA4388" w:rsidP="00396D72">
      <w:pPr>
        <w:spacing w:after="200" w:line="240" w:lineRule="auto"/>
        <w:ind w:right="426"/>
        <w:jc w:val="right"/>
        <w:rPr>
          <w:rFonts w:cs="Calibri"/>
          <w:sz w:val="20"/>
          <w:szCs w:val="20"/>
        </w:rPr>
      </w:pPr>
    </w:p>
    <w:tbl>
      <w:tblPr>
        <w:tblpPr w:vertAnchor="text" w:tblpXSpec="right" w:tblpY="1"/>
        <w:tblOverlap w:val="never"/>
        <w:tblW w:w="9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5"/>
      </w:tblGrid>
      <w:tr w:rsidR="00DA4388" w14:paraId="55EFB4E8" w14:textId="77777777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1BAE05" w14:textId="77777777" w:rsidR="00DA4388" w:rsidRDefault="005941C5" w:rsidP="00396D72">
            <w:pPr>
              <w:spacing w:after="0" w:line="240" w:lineRule="auto"/>
              <w:ind w:right="426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noProof/>
                <w:color w:val="000000"/>
                <w:sz w:val="24"/>
                <w:szCs w:val="24"/>
              </w:rPr>
              <w:drawing>
                <wp:inline distT="0" distB="0" distL="0" distR="0" wp14:anchorId="172C136E" wp14:editId="10F22EF1">
                  <wp:extent cx="1866900" cy="1343025"/>
                  <wp:effectExtent l="0" t="0" r="0" b="0"/>
                  <wp:docPr id="100002" name="Imagem 10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FBFFDF" w14:textId="77777777" w:rsidR="00DA4388" w:rsidRDefault="005941C5" w:rsidP="00396D72">
      <w:pPr>
        <w:spacing w:after="200" w:line="240" w:lineRule="auto"/>
        <w:ind w:righ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993F4D0" w14:textId="77777777" w:rsidR="00DA4388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C23B17E" w14:textId="77777777" w:rsidR="00DA4388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105D1820" w14:textId="77777777" w:rsidR="00DA4388" w:rsidRDefault="005941C5" w:rsidP="00396D72">
      <w:pPr>
        <w:spacing w:before="200" w:after="200" w:line="240" w:lineRule="auto"/>
        <w:ind w:right="426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5E7345EF" w14:textId="77777777" w:rsidR="00DA4388" w:rsidRPr="003E11A0" w:rsidRDefault="005941C5" w:rsidP="00396D72">
      <w:pPr>
        <w:spacing w:before="200" w:after="200" w:line="240" w:lineRule="auto"/>
        <w:ind w:right="426"/>
        <w:jc w:val="both"/>
        <w:rPr>
          <w:rFonts w:cs="Calibri"/>
        </w:rPr>
      </w:pPr>
      <w:r w:rsidRPr="003E11A0">
        <w:rPr>
          <w:rFonts w:cs="Calibri"/>
        </w:rPr>
        <w:t> </w:t>
      </w:r>
    </w:p>
    <w:p w14:paraId="074ED884" w14:textId="77777777" w:rsidR="00DA4388" w:rsidRPr="003E11A0" w:rsidRDefault="005941C5" w:rsidP="00396D72">
      <w:pPr>
        <w:spacing w:before="200" w:after="200" w:line="240" w:lineRule="auto"/>
        <w:ind w:right="426"/>
        <w:jc w:val="both"/>
        <w:rPr>
          <w:rFonts w:cs="Calibri"/>
        </w:rPr>
      </w:pPr>
      <w:r w:rsidRPr="003E11A0">
        <w:rPr>
          <w:rFonts w:cs="Calibri"/>
        </w:rPr>
        <w:t> </w:t>
      </w:r>
    </w:p>
    <w:p w14:paraId="0E74576D" w14:textId="77777777" w:rsidR="00630D28" w:rsidRPr="005B02A7" w:rsidRDefault="00630D28" w:rsidP="00630D28">
      <w:pPr>
        <w:spacing w:before="200" w:after="200" w:line="240" w:lineRule="auto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b/>
          <w:bCs/>
          <w:sz w:val="24"/>
          <w:szCs w:val="24"/>
        </w:rPr>
        <w:t xml:space="preserve">EXMO. SR. DR. JUIZ FEDERAL DA </w:t>
      </w:r>
      <w:r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Pr="005B02A7">
        <w:rPr>
          <w:rFonts w:asciiTheme="minorHAnsi" w:hAnsiTheme="minorHAnsi" w:cstheme="minorHAnsi"/>
          <w:b/>
          <w:bCs/>
          <w:sz w:val="24"/>
          <w:szCs w:val="24"/>
        </w:rPr>
        <w:t xml:space="preserve">ª VARA FEDERAL DA SUBSEÇÃO DE </w:t>
      </w:r>
      <w:r>
        <w:rPr>
          <w:rFonts w:asciiTheme="minorHAnsi" w:hAnsiTheme="minorHAnsi" w:cstheme="minorHAnsi"/>
          <w:b/>
          <w:bCs/>
          <w:sz w:val="24"/>
          <w:szCs w:val="24"/>
        </w:rPr>
        <w:t>RIO GRANDE</w:t>
      </w:r>
      <w:r w:rsidRPr="005B02A7">
        <w:rPr>
          <w:rFonts w:asciiTheme="minorHAnsi" w:hAnsiTheme="minorHAnsi" w:cstheme="minorHAnsi"/>
          <w:b/>
          <w:bCs/>
          <w:sz w:val="24"/>
          <w:szCs w:val="24"/>
        </w:rPr>
        <w:t xml:space="preserve"> – SEÇÃO JUDICIÁRIA DO RIO GRANDE DO SUL</w:t>
      </w:r>
    </w:p>
    <w:p w14:paraId="204AA101" w14:textId="77777777" w:rsidR="00630D28" w:rsidRPr="005B02A7" w:rsidRDefault="00630D28" w:rsidP="00630D28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> </w:t>
      </w:r>
    </w:p>
    <w:p w14:paraId="6A0F63E0" w14:textId="77777777" w:rsidR="00630D28" w:rsidRPr="005B02A7" w:rsidRDefault="00630D28" w:rsidP="00630D28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> </w:t>
      </w:r>
    </w:p>
    <w:p w14:paraId="6B777146" w14:textId="77777777" w:rsidR="00630D28" w:rsidRPr="005B02A7" w:rsidRDefault="00630D28" w:rsidP="00630D28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> </w:t>
      </w:r>
    </w:p>
    <w:p w14:paraId="60416FA8" w14:textId="77777777" w:rsidR="00630D28" w:rsidRPr="00556C2B" w:rsidRDefault="00630D28" w:rsidP="00630D28">
      <w:pPr>
        <w:spacing w:before="200" w:after="200" w:line="240" w:lineRule="auto"/>
        <w:jc w:val="both"/>
      </w:pPr>
      <w:r w:rsidRPr="005B02A7">
        <w:rPr>
          <w:rFonts w:asciiTheme="minorHAnsi" w:hAnsiTheme="minorHAnsi" w:cstheme="minorHAnsi"/>
          <w:b/>
          <w:bCs/>
          <w:sz w:val="24"/>
          <w:szCs w:val="24"/>
        </w:rPr>
        <w:t xml:space="preserve">Processo: </w:t>
      </w:r>
      <w:r>
        <w:t>5003439-16.2023.4.04.7101/RS</w:t>
      </w:r>
    </w:p>
    <w:p w14:paraId="70D5ED8D" w14:textId="77777777" w:rsidR="005941C5" w:rsidRPr="003911A8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4"/>
          <w:szCs w:val="24"/>
        </w:rPr>
      </w:pPr>
    </w:p>
    <w:p w14:paraId="70112798" w14:textId="3CED40EE" w:rsidR="008F4CF5" w:rsidRPr="003911A8" w:rsidRDefault="005941C5" w:rsidP="00396D72">
      <w:pPr>
        <w:spacing w:line="320" w:lineRule="exact"/>
        <w:ind w:right="426" w:firstLine="1440"/>
        <w:jc w:val="both"/>
        <w:rPr>
          <w:rFonts w:cs="Calibri"/>
          <w:sz w:val="24"/>
          <w:szCs w:val="24"/>
        </w:rPr>
      </w:pPr>
      <w:r w:rsidRPr="003911A8">
        <w:rPr>
          <w:rFonts w:cs="Calibri"/>
          <w:b/>
          <w:bCs/>
          <w:sz w:val="24"/>
          <w:szCs w:val="24"/>
        </w:rPr>
        <w:t>                              CAIXA ECONOMICA FEDERAL</w:t>
      </w:r>
      <w:r w:rsidRPr="003911A8">
        <w:rPr>
          <w:rFonts w:cs="Calibri"/>
          <w:sz w:val="24"/>
          <w:szCs w:val="24"/>
        </w:rPr>
        <w:t xml:space="preserve">, previamente qualificada nos autos do processo em epígrafe, neste ato, representada por seus advogados que </w:t>
      </w:r>
      <w:proofErr w:type="gramStart"/>
      <w:r w:rsidRPr="003911A8">
        <w:rPr>
          <w:rFonts w:cs="Calibri"/>
          <w:sz w:val="24"/>
          <w:szCs w:val="24"/>
        </w:rPr>
        <w:t>esta subscrevem</w:t>
      </w:r>
      <w:proofErr w:type="gramEnd"/>
      <w:r w:rsidRPr="003911A8">
        <w:rPr>
          <w:rFonts w:cs="Calibri"/>
          <w:sz w:val="24"/>
          <w:szCs w:val="24"/>
        </w:rPr>
        <w:t xml:space="preserve">, nos autos da </w:t>
      </w:r>
      <w:r w:rsidRPr="003911A8">
        <w:rPr>
          <w:rFonts w:cs="Calibri"/>
          <w:b/>
          <w:bCs/>
          <w:i/>
          <w:iCs/>
          <w:sz w:val="24"/>
          <w:szCs w:val="24"/>
        </w:rPr>
        <w:t xml:space="preserve">AÇÃO </w:t>
      </w:r>
      <w:r w:rsidR="004C7639" w:rsidRPr="003911A8">
        <w:rPr>
          <w:rFonts w:cs="Calibri"/>
          <w:b/>
          <w:bCs/>
          <w:i/>
          <w:iCs/>
          <w:sz w:val="24"/>
          <w:szCs w:val="24"/>
        </w:rPr>
        <w:t xml:space="preserve">DE </w:t>
      </w:r>
      <w:r w:rsidR="00E41F2B">
        <w:rPr>
          <w:rFonts w:cs="Calibri"/>
          <w:b/>
          <w:bCs/>
          <w:i/>
          <w:iCs/>
          <w:sz w:val="24"/>
          <w:szCs w:val="24"/>
        </w:rPr>
        <w:t>REVISÃO CONTRATUAL</w:t>
      </w:r>
      <w:r w:rsidRPr="003911A8">
        <w:rPr>
          <w:rFonts w:cs="Calibri"/>
          <w:b/>
          <w:bCs/>
          <w:i/>
          <w:iCs/>
          <w:sz w:val="24"/>
          <w:szCs w:val="24"/>
        </w:rPr>
        <w:t xml:space="preserve">, </w:t>
      </w:r>
      <w:r w:rsidRPr="003911A8">
        <w:rPr>
          <w:rFonts w:cs="Calibri"/>
          <w:sz w:val="24"/>
          <w:szCs w:val="24"/>
        </w:rPr>
        <w:t xml:space="preserve">que lhe promove </w:t>
      </w:r>
      <w:r w:rsidR="00630D28" w:rsidRPr="00556C2B">
        <w:rPr>
          <w:rFonts w:asciiTheme="minorHAnsi" w:hAnsiTheme="minorHAnsi" w:cstheme="minorHAnsi"/>
          <w:b/>
          <w:bCs/>
          <w:sz w:val="24"/>
          <w:szCs w:val="24"/>
        </w:rPr>
        <w:t>EDELSON ALBERNAZ BATISTA</w:t>
      </w:r>
      <w:r w:rsidR="00320DCE" w:rsidRPr="003911A8">
        <w:rPr>
          <w:rFonts w:cs="Calibri"/>
          <w:b/>
          <w:bCs/>
          <w:sz w:val="24"/>
          <w:szCs w:val="24"/>
        </w:rPr>
        <w:t xml:space="preserve">, </w:t>
      </w:r>
      <w:r w:rsidR="00E962C2" w:rsidRPr="003911A8">
        <w:rPr>
          <w:rFonts w:cs="Calibri"/>
          <w:sz w:val="24"/>
          <w:szCs w:val="24"/>
        </w:rPr>
        <w:t xml:space="preserve">vem, por seus advogados abaixo assinados, em atenção ao </w:t>
      </w:r>
      <w:r w:rsidR="00090C70" w:rsidRPr="003911A8">
        <w:rPr>
          <w:rFonts w:cs="Calibri"/>
          <w:sz w:val="24"/>
          <w:szCs w:val="24"/>
        </w:rPr>
        <w:t>recurso interposto pela parte autora</w:t>
      </w:r>
      <w:r w:rsidR="00E962C2" w:rsidRPr="003911A8">
        <w:rPr>
          <w:rFonts w:cs="Calibri"/>
          <w:sz w:val="24"/>
          <w:szCs w:val="24"/>
        </w:rPr>
        <w:t>,</w:t>
      </w:r>
      <w:r w:rsidR="00320DCE" w:rsidRPr="003911A8">
        <w:rPr>
          <w:rFonts w:cs="Calibri"/>
          <w:sz w:val="24"/>
          <w:szCs w:val="24"/>
        </w:rPr>
        <w:t xml:space="preserve"> pelas razões e fundamentos a seguir expostos,</w:t>
      </w:r>
      <w:r w:rsidR="004C7639" w:rsidRPr="003911A8">
        <w:rPr>
          <w:rFonts w:cs="Calibri"/>
          <w:sz w:val="24"/>
          <w:szCs w:val="24"/>
        </w:rPr>
        <w:t xml:space="preserve"> apresentar suas:</w:t>
      </w:r>
    </w:p>
    <w:p w14:paraId="7FFA8188" w14:textId="484840B5" w:rsidR="004C7639" w:rsidRPr="003911A8" w:rsidRDefault="004C7639" w:rsidP="00396D72">
      <w:pPr>
        <w:spacing w:line="320" w:lineRule="exact"/>
        <w:ind w:right="426" w:firstLine="1440"/>
        <w:jc w:val="both"/>
        <w:rPr>
          <w:rFonts w:cs="Calibri"/>
          <w:sz w:val="24"/>
          <w:szCs w:val="24"/>
        </w:rPr>
      </w:pPr>
    </w:p>
    <w:p w14:paraId="16E734CD" w14:textId="2C488F63" w:rsidR="004C7639" w:rsidRPr="003911A8" w:rsidRDefault="004C7639" w:rsidP="00396D72">
      <w:pPr>
        <w:spacing w:line="320" w:lineRule="exact"/>
        <w:ind w:right="426" w:firstLine="1440"/>
        <w:jc w:val="center"/>
        <w:rPr>
          <w:rFonts w:cs="Calibri"/>
          <w:b/>
          <w:bCs/>
          <w:sz w:val="24"/>
          <w:szCs w:val="24"/>
          <w:u w:val="single"/>
        </w:rPr>
      </w:pPr>
      <w:r w:rsidRPr="003911A8">
        <w:rPr>
          <w:rFonts w:cs="Calibri"/>
          <w:b/>
          <w:bCs/>
          <w:sz w:val="24"/>
          <w:szCs w:val="24"/>
          <w:u w:val="single"/>
        </w:rPr>
        <w:t>CONTRARRAZÕES AO</w:t>
      </w:r>
      <w:r w:rsidR="00FC007B">
        <w:rPr>
          <w:rFonts w:cs="Calibri"/>
          <w:b/>
          <w:bCs/>
          <w:sz w:val="24"/>
          <w:szCs w:val="24"/>
          <w:u w:val="single"/>
        </w:rPr>
        <w:t>S</w:t>
      </w:r>
      <w:r w:rsidRPr="003911A8">
        <w:rPr>
          <w:rFonts w:cs="Calibri"/>
          <w:b/>
          <w:bCs/>
          <w:sz w:val="24"/>
          <w:szCs w:val="24"/>
          <w:u w:val="single"/>
        </w:rPr>
        <w:t xml:space="preserve"> </w:t>
      </w:r>
      <w:r w:rsidR="00FC007B">
        <w:rPr>
          <w:rFonts w:cs="Calibri"/>
          <w:b/>
          <w:bCs/>
          <w:sz w:val="24"/>
          <w:szCs w:val="24"/>
          <w:u w:val="single"/>
        </w:rPr>
        <w:t>EMBARGOS DE DECLARAÇÃO</w:t>
      </w:r>
    </w:p>
    <w:p w14:paraId="11F6A7B2" w14:textId="77777777" w:rsidR="00673F32" w:rsidRPr="003911A8" w:rsidRDefault="00673F32" w:rsidP="00396D72">
      <w:pPr>
        <w:spacing w:before="200" w:after="200" w:line="240" w:lineRule="auto"/>
        <w:ind w:right="426" w:firstLine="708"/>
        <w:jc w:val="both"/>
        <w:rPr>
          <w:rFonts w:cs="Calibri"/>
          <w:sz w:val="24"/>
          <w:szCs w:val="24"/>
        </w:rPr>
      </w:pPr>
    </w:p>
    <w:p w14:paraId="29541AA5" w14:textId="77777777" w:rsidR="00FC007B" w:rsidRPr="006D7FCB" w:rsidRDefault="00FC007B" w:rsidP="00FC007B">
      <w:pPr>
        <w:pStyle w:val="PargrafodaLista"/>
        <w:widowControl w:val="0"/>
        <w:numPr>
          <w:ilvl w:val="0"/>
          <w:numId w:val="7"/>
        </w:numPr>
        <w:suppressAutoHyphens/>
        <w:spacing w:line="320" w:lineRule="exact"/>
        <w:contextualSpacing w:val="0"/>
        <w:jc w:val="center"/>
        <w:rPr>
          <w:rFonts w:ascii="Tahoma" w:eastAsia="Times New Roman" w:hAnsi="Tahoma" w:cs="Tahoma"/>
          <w:b/>
          <w:smallCaps/>
          <w:u w:val="single"/>
        </w:rPr>
      </w:pPr>
      <w:proofErr w:type="spellStart"/>
      <w:r w:rsidRPr="006D7FCB">
        <w:rPr>
          <w:rFonts w:ascii="Tahoma" w:eastAsia="Times New Roman" w:hAnsi="Tahoma" w:cs="Tahoma"/>
          <w:b/>
          <w:smallCaps/>
          <w:u w:val="single"/>
        </w:rPr>
        <w:t>Impossibilidade</w:t>
      </w:r>
      <w:proofErr w:type="spellEnd"/>
      <w:r w:rsidRPr="006D7FCB">
        <w:rPr>
          <w:rFonts w:ascii="Tahoma" w:eastAsia="Times New Roman" w:hAnsi="Tahoma" w:cs="Tahoma"/>
          <w:b/>
          <w:smallCaps/>
          <w:u w:val="single"/>
        </w:rPr>
        <w:t xml:space="preserve"> de </w:t>
      </w:r>
      <w:proofErr w:type="spellStart"/>
      <w:r w:rsidRPr="006D7FCB">
        <w:rPr>
          <w:rFonts w:ascii="Tahoma" w:eastAsia="Times New Roman" w:hAnsi="Tahoma" w:cs="Tahoma"/>
          <w:b/>
          <w:smallCaps/>
          <w:u w:val="single"/>
        </w:rPr>
        <w:t>manejo</w:t>
      </w:r>
      <w:proofErr w:type="spellEnd"/>
      <w:r w:rsidRPr="006D7FCB">
        <w:rPr>
          <w:rFonts w:ascii="Tahoma" w:eastAsia="Times New Roman" w:hAnsi="Tahoma" w:cs="Tahoma"/>
          <w:b/>
          <w:smallCaps/>
          <w:u w:val="single"/>
        </w:rPr>
        <w:t xml:space="preserve"> de embargos de </w:t>
      </w:r>
      <w:proofErr w:type="spellStart"/>
      <w:r w:rsidRPr="006D7FCB">
        <w:rPr>
          <w:rFonts w:ascii="Tahoma" w:eastAsia="Times New Roman" w:hAnsi="Tahoma" w:cs="Tahoma"/>
          <w:b/>
          <w:smallCaps/>
          <w:u w:val="single"/>
        </w:rPr>
        <w:t>declaração</w:t>
      </w:r>
      <w:proofErr w:type="spellEnd"/>
    </w:p>
    <w:p w14:paraId="1A8EF227" w14:textId="77777777" w:rsidR="00FC007B" w:rsidRPr="006D7FCB" w:rsidRDefault="00FC007B" w:rsidP="00FC007B">
      <w:pPr>
        <w:spacing w:line="320" w:lineRule="exact"/>
        <w:jc w:val="center"/>
        <w:rPr>
          <w:rFonts w:ascii="Tahoma" w:eastAsia="Times New Roman" w:hAnsi="Tahoma" w:cs="Tahoma"/>
          <w:b/>
          <w:smallCaps/>
          <w:u w:val="single"/>
        </w:rPr>
      </w:pPr>
      <w:r w:rsidRPr="006D7FCB">
        <w:rPr>
          <w:rFonts w:ascii="Tahoma" w:eastAsia="Times New Roman" w:hAnsi="Tahoma" w:cs="Tahoma"/>
          <w:b/>
          <w:smallCaps/>
          <w:u w:val="single"/>
        </w:rPr>
        <w:t>Para reexame do v. Acórdão</w:t>
      </w:r>
    </w:p>
    <w:p w14:paraId="78EC7D35" w14:textId="77777777" w:rsidR="00FC007B" w:rsidRPr="006D7FCB" w:rsidRDefault="00FC007B" w:rsidP="00FC007B">
      <w:pPr>
        <w:widowControl w:val="0"/>
        <w:spacing w:line="320" w:lineRule="exact"/>
        <w:ind w:firstLine="709"/>
        <w:jc w:val="both"/>
        <w:rPr>
          <w:rFonts w:ascii="Tahoma" w:eastAsia="Cambria" w:hAnsi="Tahoma" w:cs="Tahoma"/>
          <w:color w:val="0D0D0D"/>
        </w:rPr>
      </w:pPr>
    </w:p>
    <w:p w14:paraId="238C5F8E" w14:textId="5638269E" w:rsidR="00FC007B" w:rsidRPr="006D7FCB" w:rsidRDefault="00FC007B" w:rsidP="00FC007B">
      <w:pPr>
        <w:widowControl w:val="0"/>
        <w:tabs>
          <w:tab w:val="left" w:pos="709"/>
          <w:tab w:val="left" w:pos="1418"/>
        </w:tabs>
        <w:spacing w:after="0" w:line="320" w:lineRule="exact"/>
        <w:jc w:val="both"/>
        <w:rPr>
          <w:rFonts w:ascii="Tahoma" w:eastAsia="Cambria" w:hAnsi="Tahoma" w:cs="Tahoma"/>
        </w:rPr>
      </w:pPr>
      <w:r>
        <w:rPr>
          <w:rFonts w:ascii="Tahoma" w:eastAsia="Cambria" w:hAnsi="Tahoma" w:cs="Tahoma"/>
        </w:rPr>
        <w:tab/>
      </w:r>
      <w:r w:rsidRPr="006D7FCB">
        <w:rPr>
          <w:rFonts w:ascii="Tahoma" w:eastAsia="Cambria" w:hAnsi="Tahoma" w:cs="Tahoma"/>
        </w:rPr>
        <w:t>Malgrado o esforço intentado pela parte Embargante, fato é que o julgado não padece de qualquer vício de contradição omissão ou obscuridade, suscitados nos Embargos Declaratórios em questão</w:t>
      </w:r>
      <w:r>
        <w:rPr>
          <w:rFonts w:ascii="Tahoma" w:eastAsia="Cambria" w:hAnsi="Tahoma" w:cs="Tahoma"/>
        </w:rPr>
        <w:t>.</w:t>
      </w:r>
    </w:p>
    <w:p w14:paraId="5B3A8375" w14:textId="77777777" w:rsidR="00FC007B" w:rsidRPr="006D7FCB" w:rsidRDefault="00FC007B" w:rsidP="00FC007B">
      <w:pPr>
        <w:tabs>
          <w:tab w:val="left" w:pos="709"/>
          <w:tab w:val="left" w:pos="1418"/>
        </w:tabs>
        <w:suppressAutoHyphens/>
        <w:spacing w:line="320" w:lineRule="exact"/>
        <w:jc w:val="both"/>
        <w:rPr>
          <w:rFonts w:ascii="Tahoma" w:eastAsia="Cambria" w:hAnsi="Tahoma" w:cs="Tahoma"/>
        </w:rPr>
      </w:pPr>
    </w:p>
    <w:p w14:paraId="6ED1F42C" w14:textId="59C0D855" w:rsidR="00FC007B" w:rsidRPr="006D7FCB" w:rsidRDefault="00FC007B" w:rsidP="00FC007B">
      <w:pPr>
        <w:widowControl w:val="0"/>
        <w:tabs>
          <w:tab w:val="left" w:pos="709"/>
          <w:tab w:val="left" w:pos="1418"/>
        </w:tabs>
        <w:spacing w:after="0" w:line="320" w:lineRule="exact"/>
        <w:jc w:val="both"/>
        <w:rPr>
          <w:rFonts w:ascii="Tahoma" w:hAnsi="Tahoma" w:cs="Tahoma"/>
          <w:b/>
          <w:smallCaps/>
          <w:u w:val="single"/>
        </w:rPr>
      </w:pPr>
      <w:r>
        <w:rPr>
          <w:rFonts w:ascii="Tahoma" w:eastAsia="Cambria" w:hAnsi="Tahoma" w:cs="Tahoma"/>
        </w:rPr>
        <w:tab/>
      </w:r>
      <w:r w:rsidRPr="006D7FCB">
        <w:rPr>
          <w:rFonts w:ascii="Tahoma" w:eastAsia="Cambria" w:hAnsi="Tahoma" w:cs="Tahoma"/>
        </w:rPr>
        <w:t xml:space="preserve"> Em verdade, o que a parte Embargante pretende é o reexame do julgado, o que não se admite pela via dos embargos de declaração.</w:t>
      </w:r>
    </w:p>
    <w:p w14:paraId="07911F91" w14:textId="77777777" w:rsidR="00FC007B" w:rsidRPr="006D7FCB" w:rsidRDefault="00FC007B" w:rsidP="00FC007B">
      <w:pPr>
        <w:pStyle w:val="PargrafodaLista"/>
        <w:tabs>
          <w:tab w:val="left" w:pos="709"/>
          <w:tab w:val="left" w:pos="1418"/>
        </w:tabs>
        <w:spacing w:line="320" w:lineRule="exact"/>
        <w:ind w:left="0"/>
        <w:jc w:val="both"/>
        <w:rPr>
          <w:rFonts w:ascii="Tahoma" w:eastAsia="Cambria" w:hAnsi="Tahoma" w:cs="Tahoma"/>
        </w:rPr>
      </w:pPr>
    </w:p>
    <w:p w14:paraId="6574C096" w14:textId="0948B5BB" w:rsidR="00FC007B" w:rsidRPr="006D7FCB" w:rsidRDefault="00FC007B" w:rsidP="00FC007B">
      <w:pPr>
        <w:widowControl w:val="0"/>
        <w:tabs>
          <w:tab w:val="left" w:pos="709"/>
          <w:tab w:val="left" w:pos="1418"/>
        </w:tabs>
        <w:spacing w:after="0" w:line="320" w:lineRule="exact"/>
        <w:jc w:val="both"/>
        <w:rPr>
          <w:rFonts w:ascii="Tahoma" w:hAnsi="Tahoma" w:cs="Tahoma"/>
          <w:b/>
          <w:smallCaps/>
          <w:u w:val="single"/>
        </w:rPr>
      </w:pPr>
      <w:r>
        <w:rPr>
          <w:rFonts w:ascii="Tahoma" w:eastAsia="Cambria" w:hAnsi="Tahoma" w:cs="Tahoma"/>
        </w:rPr>
        <w:tab/>
      </w:r>
      <w:r w:rsidRPr="006D7FCB">
        <w:rPr>
          <w:rFonts w:ascii="Tahoma" w:eastAsia="Cambria" w:hAnsi="Tahoma" w:cs="Tahoma"/>
        </w:rPr>
        <w:t xml:space="preserve">Fato é que a Embargante não se conformou com o resultado do julgamento, buscando, através dos presentes embargos, obter efeito modificativo do julgado. </w:t>
      </w:r>
    </w:p>
    <w:p w14:paraId="4B0D1C33" w14:textId="77777777" w:rsidR="00FC007B" w:rsidRPr="006D7FCB" w:rsidRDefault="00FC007B" w:rsidP="00FC007B">
      <w:pPr>
        <w:pStyle w:val="PargrafodaLista"/>
        <w:tabs>
          <w:tab w:val="left" w:pos="709"/>
          <w:tab w:val="left" w:pos="1418"/>
        </w:tabs>
        <w:spacing w:line="320" w:lineRule="exact"/>
        <w:ind w:left="0"/>
        <w:jc w:val="both"/>
        <w:rPr>
          <w:rFonts w:ascii="Tahoma" w:eastAsia="Cambria" w:hAnsi="Tahoma" w:cs="Tahoma"/>
        </w:rPr>
      </w:pPr>
    </w:p>
    <w:p w14:paraId="50FFA4F9" w14:textId="4DF3491D" w:rsidR="00FC007B" w:rsidRPr="001B4138" w:rsidRDefault="00FC007B" w:rsidP="00FC007B">
      <w:pPr>
        <w:widowControl w:val="0"/>
        <w:tabs>
          <w:tab w:val="left" w:pos="709"/>
          <w:tab w:val="left" w:pos="1418"/>
        </w:tabs>
        <w:spacing w:after="0" w:line="320" w:lineRule="exact"/>
        <w:jc w:val="both"/>
        <w:rPr>
          <w:rFonts w:ascii="Tahoma" w:hAnsi="Tahoma" w:cs="Tahoma"/>
          <w:b/>
          <w:smallCaps/>
          <w:u w:val="single"/>
        </w:rPr>
      </w:pPr>
      <w:r>
        <w:rPr>
          <w:rFonts w:ascii="Tahoma" w:eastAsia="Cambria" w:hAnsi="Tahoma" w:cs="Tahoma"/>
        </w:rPr>
        <w:tab/>
      </w:r>
      <w:r w:rsidRPr="006D7FCB">
        <w:rPr>
          <w:rFonts w:ascii="Tahoma" w:eastAsia="Cambria" w:hAnsi="Tahoma" w:cs="Tahoma"/>
        </w:rPr>
        <w:t>Isso, como regra, é INADMISSÍVEL, porque os embargos de declaração não constituem recurso idôneo para corrigir os fundamentos do acórdão ou para provocar o reexame de questões da decididas</w:t>
      </w:r>
      <w:r>
        <w:rPr>
          <w:rFonts w:ascii="Tahoma" w:eastAsia="Cambria" w:hAnsi="Tahoma" w:cs="Tahoma"/>
        </w:rPr>
        <w:t>, no caso em concreto, majoração de Danos Morais já entendida como incabível ao caso concreto</w:t>
      </w:r>
      <w:r w:rsidRPr="006D7FCB">
        <w:rPr>
          <w:rFonts w:ascii="Tahoma" w:eastAsia="Cambria" w:hAnsi="Tahoma" w:cs="Tahoma"/>
        </w:rPr>
        <w:t xml:space="preserve">. </w:t>
      </w:r>
    </w:p>
    <w:p w14:paraId="7A68B321" w14:textId="77777777" w:rsidR="00FC007B" w:rsidRDefault="00FC007B" w:rsidP="00FC007B">
      <w:pPr>
        <w:pStyle w:val="PargrafodaLista"/>
        <w:rPr>
          <w:rFonts w:ascii="Tahoma" w:hAnsi="Tahoma" w:cs="Tahoma"/>
          <w:b/>
          <w:smallCaps/>
          <w:u w:val="single"/>
        </w:rPr>
      </w:pPr>
    </w:p>
    <w:p w14:paraId="1DACEE8E" w14:textId="77777777" w:rsidR="00FC007B" w:rsidRDefault="00FC007B" w:rsidP="00FC007B">
      <w:pPr>
        <w:widowControl w:val="0"/>
        <w:tabs>
          <w:tab w:val="left" w:pos="709"/>
          <w:tab w:val="left" w:pos="1418"/>
        </w:tabs>
        <w:spacing w:line="320" w:lineRule="exact"/>
        <w:jc w:val="both"/>
        <w:rPr>
          <w:rFonts w:ascii="Tahoma" w:hAnsi="Tahoma" w:cs="Tahoma"/>
          <w:b/>
          <w:smallCaps/>
          <w:u w:val="single"/>
        </w:rPr>
      </w:pPr>
    </w:p>
    <w:p w14:paraId="0E4870EA" w14:textId="77777777" w:rsidR="00FC007B" w:rsidRPr="006D7FCB" w:rsidRDefault="00FC007B" w:rsidP="00FC007B">
      <w:pPr>
        <w:widowControl w:val="0"/>
        <w:tabs>
          <w:tab w:val="left" w:pos="709"/>
          <w:tab w:val="left" w:pos="1418"/>
        </w:tabs>
        <w:spacing w:line="320" w:lineRule="exact"/>
        <w:jc w:val="both"/>
        <w:rPr>
          <w:rFonts w:ascii="Tahoma" w:hAnsi="Tahoma" w:cs="Tahoma"/>
          <w:b/>
          <w:smallCaps/>
          <w:u w:val="single"/>
        </w:rPr>
      </w:pPr>
    </w:p>
    <w:p w14:paraId="0C2084BF" w14:textId="77777777" w:rsidR="00FC007B" w:rsidRPr="006D7FCB" w:rsidRDefault="00FC007B" w:rsidP="00FC007B">
      <w:pPr>
        <w:pStyle w:val="PargrafodaLista"/>
        <w:tabs>
          <w:tab w:val="left" w:pos="709"/>
          <w:tab w:val="left" w:pos="1418"/>
        </w:tabs>
        <w:spacing w:line="320" w:lineRule="exact"/>
        <w:ind w:left="0"/>
        <w:jc w:val="both"/>
        <w:rPr>
          <w:rFonts w:ascii="Tahoma" w:hAnsi="Tahoma" w:cs="Tahoma"/>
          <w:b/>
          <w:smallCaps/>
          <w:u w:val="single"/>
        </w:rPr>
      </w:pPr>
    </w:p>
    <w:p w14:paraId="56914EA7" w14:textId="165ECD36" w:rsidR="00FC007B" w:rsidRPr="006D7FCB" w:rsidRDefault="00FC007B" w:rsidP="00FC007B">
      <w:pPr>
        <w:widowControl w:val="0"/>
        <w:tabs>
          <w:tab w:val="left" w:pos="709"/>
          <w:tab w:val="left" w:pos="1418"/>
        </w:tabs>
        <w:spacing w:after="0" w:line="320" w:lineRule="exact"/>
        <w:jc w:val="both"/>
        <w:rPr>
          <w:rFonts w:ascii="Tahoma" w:eastAsia="Cambria" w:hAnsi="Tahoma" w:cs="Tahoma"/>
        </w:rPr>
      </w:pPr>
      <w:r>
        <w:rPr>
          <w:rFonts w:ascii="Tahoma" w:eastAsia="Cambria" w:hAnsi="Tahoma" w:cs="Tahoma"/>
        </w:rPr>
        <w:tab/>
      </w:r>
      <w:r w:rsidRPr="006D7FCB">
        <w:rPr>
          <w:rFonts w:ascii="Tahoma" w:eastAsia="Cambria" w:hAnsi="Tahoma" w:cs="Tahoma"/>
        </w:rPr>
        <w:t xml:space="preserve">A nossa Corte Superior de Justiça firmou entendimento nesse sentido ao decidir, </w:t>
      </w:r>
      <w:r w:rsidRPr="006D7FCB">
        <w:rPr>
          <w:rFonts w:ascii="Tahoma" w:eastAsia="Cambria" w:hAnsi="Tahoma" w:cs="Tahoma"/>
          <w:i/>
          <w:iCs/>
          <w:u w:val="single"/>
        </w:rPr>
        <w:t xml:space="preserve">in </w:t>
      </w:r>
      <w:proofErr w:type="spellStart"/>
      <w:r w:rsidRPr="006D7FCB">
        <w:rPr>
          <w:rFonts w:ascii="Tahoma" w:eastAsia="Cambria" w:hAnsi="Tahoma" w:cs="Tahoma"/>
          <w:i/>
          <w:iCs/>
          <w:u w:val="single"/>
        </w:rPr>
        <w:t>verbis</w:t>
      </w:r>
      <w:proofErr w:type="spellEnd"/>
      <w:r w:rsidRPr="006D7FCB">
        <w:rPr>
          <w:rFonts w:ascii="Tahoma" w:eastAsia="Cambria" w:hAnsi="Tahoma" w:cs="Tahoma"/>
          <w:i/>
          <w:iCs/>
          <w:u w:val="single"/>
        </w:rPr>
        <w:t>:</w:t>
      </w:r>
    </w:p>
    <w:p w14:paraId="1F835082" w14:textId="77777777" w:rsidR="00FC007B" w:rsidRPr="006D7FCB" w:rsidRDefault="00FC007B" w:rsidP="00FC007B">
      <w:pPr>
        <w:widowControl w:val="0"/>
        <w:tabs>
          <w:tab w:val="left" w:pos="1418"/>
        </w:tabs>
        <w:spacing w:line="320" w:lineRule="exact"/>
        <w:ind w:firstLine="709"/>
        <w:jc w:val="both"/>
        <w:rPr>
          <w:rFonts w:ascii="Tahoma" w:eastAsia="Cambria" w:hAnsi="Tahoma" w:cs="Tahoma"/>
        </w:rPr>
      </w:pPr>
    </w:p>
    <w:p w14:paraId="0BB45E07" w14:textId="77777777" w:rsidR="00FC007B" w:rsidRPr="006D7FCB" w:rsidRDefault="00FC007B" w:rsidP="00FC007B">
      <w:pPr>
        <w:tabs>
          <w:tab w:val="left" w:pos="900"/>
        </w:tabs>
        <w:ind w:left="2268"/>
        <w:jc w:val="both"/>
        <w:rPr>
          <w:rFonts w:ascii="Tahoma" w:hAnsi="Tahoma" w:cs="Tahoma"/>
        </w:rPr>
      </w:pPr>
      <w:r w:rsidRPr="006D7FCB">
        <w:rPr>
          <w:rFonts w:ascii="Tahoma" w:hAnsi="Tahoma" w:cs="Tahoma"/>
        </w:rPr>
        <w:t>“</w:t>
      </w:r>
      <w:r w:rsidRPr="006D7FCB">
        <w:rPr>
          <w:rFonts w:ascii="Tahoma" w:hAnsi="Tahoma" w:cs="Tahoma"/>
          <w:b/>
          <w:u w:val="single"/>
        </w:rPr>
        <w:t>Não pode ser conhecido recurso, que, sob o rótulo de embargos declaratórios, pretendem substituir a decisão recorrida por outra. Os embargos declaratórios são apelos de integração e não de substituição</w:t>
      </w:r>
      <w:r w:rsidRPr="006D7FCB">
        <w:rPr>
          <w:rFonts w:ascii="Tahoma" w:hAnsi="Tahoma" w:cs="Tahoma"/>
        </w:rPr>
        <w:t>.” (STJ, 1ª Turma, Resp. 15.774-O-SP, Rel. Min. Humberto Gomes Barros</w:t>
      </w:r>
      <w:proofErr w:type="gramStart"/>
      <w:r w:rsidRPr="006D7FCB">
        <w:rPr>
          <w:rFonts w:ascii="Tahoma" w:hAnsi="Tahoma" w:cs="Tahoma"/>
        </w:rPr>
        <w:t>).(</w:t>
      </w:r>
      <w:proofErr w:type="gramEnd"/>
      <w:r w:rsidRPr="006D7FCB">
        <w:rPr>
          <w:rFonts w:ascii="Tahoma" w:hAnsi="Tahoma" w:cs="Tahoma"/>
        </w:rPr>
        <w:t>grifamos)</w:t>
      </w:r>
    </w:p>
    <w:p w14:paraId="2187DB02" w14:textId="77777777" w:rsidR="00FC007B" w:rsidRPr="006D7FCB" w:rsidRDefault="00FC007B" w:rsidP="00EC3120">
      <w:pPr>
        <w:tabs>
          <w:tab w:val="left" w:pos="900"/>
        </w:tabs>
        <w:spacing w:line="320" w:lineRule="exact"/>
        <w:jc w:val="both"/>
        <w:rPr>
          <w:rFonts w:ascii="Tahoma" w:hAnsi="Tahoma" w:cs="Tahoma"/>
          <w:b/>
          <w:u w:val="single"/>
        </w:rPr>
      </w:pPr>
    </w:p>
    <w:p w14:paraId="73E9927F" w14:textId="7BEE98BD" w:rsidR="00FC007B" w:rsidRPr="006D7FCB" w:rsidRDefault="00FC007B" w:rsidP="00EC3120">
      <w:pPr>
        <w:widowControl w:val="0"/>
        <w:tabs>
          <w:tab w:val="left" w:pos="709"/>
        </w:tabs>
        <w:spacing w:after="0" w:line="320" w:lineRule="exact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 w:rsidRPr="006D7FCB">
        <w:rPr>
          <w:rFonts w:ascii="Tahoma" w:hAnsi="Tahoma" w:cs="Tahoma"/>
        </w:rPr>
        <w:t xml:space="preserve">Ademais, </w:t>
      </w:r>
      <w:r w:rsidR="00630D28">
        <w:rPr>
          <w:rFonts w:ascii="Tahoma" w:hAnsi="Tahoma" w:cs="Tahoma"/>
        </w:rPr>
        <w:t>a r. sentença</w:t>
      </w:r>
      <w:r w:rsidRPr="006D7FCB">
        <w:rPr>
          <w:rFonts w:ascii="Tahoma" w:hAnsi="Tahoma" w:cs="Tahoma"/>
        </w:rPr>
        <w:t xml:space="preserve"> ora embargad</w:t>
      </w:r>
      <w:r w:rsidR="00630D28">
        <w:rPr>
          <w:rFonts w:ascii="Tahoma" w:hAnsi="Tahoma" w:cs="Tahoma"/>
        </w:rPr>
        <w:t>a</w:t>
      </w:r>
      <w:r w:rsidRPr="006D7FCB">
        <w:rPr>
          <w:rFonts w:ascii="Tahoma" w:hAnsi="Tahoma" w:cs="Tahoma"/>
        </w:rPr>
        <w:t xml:space="preserve"> não padece de qualquer dos vícios suscitados nos </w:t>
      </w:r>
      <w:proofErr w:type="spellStart"/>
      <w:r w:rsidRPr="006D7FCB">
        <w:rPr>
          <w:rFonts w:ascii="Tahoma" w:hAnsi="Tahoma" w:cs="Tahoma"/>
        </w:rPr>
        <w:t>aclaratórios</w:t>
      </w:r>
      <w:proofErr w:type="spellEnd"/>
      <w:r w:rsidRPr="006D7FCB">
        <w:rPr>
          <w:rFonts w:ascii="Tahoma" w:hAnsi="Tahoma" w:cs="Tahoma"/>
        </w:rPr>
        <w:t xml:space="preserve"> em questão, não estando aqui presentes os requisitos do artigo 1.022, do CPC.</w:t>
      </w:r>
    </w:p>
    <w:p w14:paraId="62A609DF" w14:textId="77777777" w:rsidR="00FC007B" w:rsidRPr="006D7FCB" w:rsidRDefault="00FC007B" w:rsidP="00EC3120">
      <w:pPr>
        <w:widowControl w:val="0"/>
        <w:tabs>
          <w:tab w:val="left" w:pos="709"/>
        </w:tabs>
        <w:spacing w:line="320" w:lineRule="exact"/>
        <w:jc w:val="both"/>
        <w:rPr>
          <w:rFonts w:ascii="Tahoma" w:hAnsi="Tahoma" w:cs="Tahoma"/>
        </w:rPr>
      </w:pPr>
    </w:p>
    <w:p w14:paraId="16D5940B" w14:textId="10F8D06C" w:rsidR="00FC007B" w:rsidRPr="006D7FCB" w:rsidRDefault="00FC007B" w:rsidP="00EC3120">
      <w:pPr>
        <w:widowControl w:val="0"/>
        <w:tabs>
          <w:tab w:val="left" w:pos="709"/>
        </w:tabs>
        <w:spacing w:after="0" w:line="320" w:lineRule="exact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 w:rsidRPr="006D7FCB">
        <w:rPr>
          <w:rFonts w:ascii="Tahoma" w:hAnsi="Tahoma" w:cs="Tahoma"/>
        </w:rPr>
        <w:t>Assim, é evidente que o pedido da parte Embargante de reforma d</w:t>
      </w:r>
      <w:r w:rsidR="00630D28">
        <w:rPr>
          <w:rFonts w:ascii="Tahoma" w:hAnsi="Tahoma" w:cs="Tahoma"/>
        </w:rPr>
        <w:t>a</w:t>
      </w:r>
      <w:r w:rsidRPr="006D7FCB">
        <w:rPr>
          <w:rFonts w:ascii="Tahoma" w:hAnsi="Tahoma" w:cs="Tahoma"/>
        </w:rPr>
        <w:t xml:space="preserve"> </w:t>
      </w:r>
      <w:r w:rsidR="00630D28">
        <w:rPr>
          <w:rFonts w:ascii="Tahoma" w:hAnsi="Tahoma" w:cs="Tahoma"/>
        </w:rPr>
        <w:t>sentença</w:t>
      </w:r>
      <w:r w:rsidRPr="006D7FCB">
        <w:rPr>
          <w:rFonts w:ascii="Tahoma" w:hAnsi="Tahoma" w:cs="Tahoma"/>
        </w:rPr>
        <w:t xml:space="preserve"> deve ser negad</w:t>
      </w:r>
      <w:r w:rsidR="00630D28">
        <w:rPr>
          <w:rFonts w:ascii="Tahoma" w:hAnsi="Tahoma" w:cs="Tahoma"/>
        </w:rPr>
        <w:t>o</w:t>
      </w:r>
      <w:r w:rsidRPr="006D7FCB">
        <w:rPr>
          <w:rFonts w:ascii="Tahoma" w:hAnsi="Tahoma" w:cs="Tahoma"/>
        </w:rPr>
        <w:t xml:space="preserve"> pelo Poder Judiciário, diante da ausência de fundamentos legais.</w:t>
      </w:r>
    </w:p>
    <w:p w14:paraId="1A9D3048" w14:textId="77777777" w:rsidR="00FC007B" w:rsidRPr="006D7FCB" w:rsidRDefault="00FC007B" w:rsidP="00EC3120">
      <w:pPr>
        <w:pStyle w:val="PargrafodaLista"/>
        <w:tabs>
          <w:tab w:val="left" w:pos="709"/>
        </w:tabs>
        <w:spacing w:line="320" w:lineRule="exact"/>
        <w:ind w:left="0" w:firstLine="709"/>
        <w:jc w:val="both"/>
        <w:rPr>
          <w:rFonts w:ascii="Tahoma" w:hAnsi="Tahoma" w:cs="Tahoma"/>
        </w:rPr>
      </w:pPr>
    </w:p>
    <w:p w14:paraId="0BE95C13" w14:textId="2368E60C" w:rsidR="001D2A89" w:rsidRDefault="00FC007B" w:rsidP="00EC3120">
      <w:pPr>
        <w:tabs>
          <w:tab w:val="left" w:pos="0"/>
        </w:tabs>
        <w:spacing w:line="320" w:lineRule="exact"/>
        <w:ind w:firstLine="709"/>
        <w:jc w:val="both"/>
        <w:rPr>
          <w:rFonts w:ascii="Tahoma" w:hAnsi="Tahoma" w:cs="Tahoma"/>
        </w:rPr>
      </w:pPr>
      <w:r w:rsidRPr="006D7FCB">
        <w:rPr>
          <w:rFonts w:ascii="Tahoma" w:hAnsi="Tahoma" w:cs="Tahoma"/>
        </w:rPr>
        <w:t>Ante o exposto, a Embargada confia que se negará provimento aos Embargos de Declaração</w:t>
      </w:r>
      <w:r w:rsidR="00EC3120">
        <w:rPr>
          <w:rFonts w:ascii="Tahoma" w:hAnsi="Tahoma" w:cs="Tahoma"/>
        </w:rPr>
        <w:t xml:space="preserve"> </w:t>
      </w:r>
      <w:r w:rsidRPr="006D7FCB">
        <w:rPr>
          <w:rFonts w:ascii="Tahoma" w:hAnsi="Tahoma" w:cs="Tahoma"/>
        </w:rPr>
        <w:t>interpostos, como medida de direito.</w:t>
      </w:r>
    </w:p>
    <w:p w14:paraId="04CF5BE4" w14:textId="77777777" w:rsidR="00EC3120" w:rsidRPr="00E41F2B" w:rsidRDefault="00EC3120" w:rsidP="00FC007B">
      <w:pPr>
        <w:tabs>
          <w:tab w:val="left" w:pos="0"/>
        </w:tabs>
        <w:spacing w:line="320" w:lineRule="exact"/>
        <w:ind w:left="360"/>
        <w:jc w:val="center"/>
        <w:rPr>
          <w:rFonts w:ascii="Tahoma" w:hAnsi="Tahoma" w:cs="Tahoma"/>
          <w:b/>
          <w:bCs/>
          <w:smallCaps/>
          <w:sz w:val="24"/>
          <w:szCs w:val="24"/>
          <w:u w:val="single"/>
        </w:rPr>
      </w:pPr>
    </w:p>
    <w:p w14:paraId="127DECB2" w14:textId="77777777" w:rsidR="001D2A89" w:rsidRPr="00E41F2B" w:rsidRDefault="001D2A89" w:rsidP="001D2A89">
      <w:pPr>
        <w:pStyle w:val="PargrafodaLista"/>
        <w:numPr>
          <w:ilvl w:val="0"/>
          <w:numId w:val="5"/>
        </w:numPr>
        <w:tabs>
          <w:tab w:val="left" w:pos="0"/>
        </w:tabs>
        <w:suppressAutoHyphens/>
        <w:spacing w:line="320" w:lineRule="exact"/>
        <w:contextualSpacing w:val="0"/>
        <w:jc w:val="center"/>
        <w:rPr>
          <w:rFonts w:ascii="Tahoma" w:hAnsi="Tahoma" w:cs="Tahoma"/>
          <w:b/>
          <w:bCs/>
          <w:smallCaps/>
          <w:u w:val="single"/>
          <w:lang w:val="pt-BR"/>
        </w:rPr>
      </w:pPr>
      <w:r w:rsidRPr="00E41F2B">
        <w:rPr>
          <w:rFonts w:ascii="Tahoma" w:hAnsi="Tahoma" w:cs="Tahoma"/>
          <w:b/>
          <w:smallCaps/>
          <w:u w:val="single"/>
          <w:lang w:val="pt-BR"/>
        </w:rPr>
        <w:t>Conclusão</w:t>
      </w:r>
    </w:p>
    <w:p w14:paraId="03EE1297" w14:textId="77777777" w:rsidR="001D2A89" w:rsidRPr="00E41F2B" w:rsidRDefault="001D2A89" w:rsidP="001D2A89">
      <w:pPr>
        <w:pStyle w:val="PargrafodaLista"/>
        <w:spacing w:line="320" w:lineRule="exact"/>
        <w:ind w:left="0" w:firstLine="709"/>
        <w:jc w:val="both"/>
        <w:rPr>
          <w:rFonts w:ascii="Tahoma" w:hAnsi="Tahoma" w:cs="Tahoma"/>
          <w:lang w:val="pt-BR"/>
        </w:rPr>
      </w:pPr>
    </w:p>
    <w:p w14:paraId="5F4BE33D" w14:textId="772F85B5" w:rsidR="001D2A89" w:rsidRPr="00E41F2B" w:rsidRDefault="00E41F2B" w:rsidP="00E41F2B">
      <w:pPr>
        <w:tabs>
          <w:tab w:val="left" w:pos="709"/>
        </w:tabs>
        <w:spacing w:after="0" w:line="320" w:lineRule="exact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 w:rsidR="001D2A89" w:rsidRPr="00E41F2B">
        <w:rPr>
          <w:rFonts w:ascii="Tahoma" w:hAnsi="Tahoma" w:cs="Tahoma"/>
        </w:rPr>
        <w:t xml:space="preserve">Por todo o exposto, confia e espera a parte </w:t>
      </w:r>
      <w:r w:rsidR="00FC007B">
        <w:rPr>
          <w:rFonts w:ascii="Tahoma" w:hAnsi="Tahoma" w:cs="Tahoma"/>
        </w:rPr>
        <w:t>embargada</w:t>
      </w:r>
      <w:r w:rsidR="001D2A89" w:rsidRPr="00E41F2B">
        <w:rPr>
          <w:rFonts w:ascii="Tahoma" w:hAnsi="Tahoma" w:cs="Tahoma"/>
        </w:rPr>
        <w:t xml:space="preserve">, fiada no senso de justiça e critério de razoabilidade </w:t>
      </w:r>
      <w:r w:rsidR="00630D28">
        <w:rPr>
          <w:rFonts w:ascii="Tahoma" w:hAnsi="Tahoma" w:cs="Tahoma"/>
        </w:rPr>
        <w:t>que sejam rejeitados os embargos de declaração opostos</w:t>
      </w:r>
      <w:r w:rsidR="001D2A89" w:rsidRPr="00E41F2B">
        <w:rPr>
          <w:rFonts w:ascii="Tahoma" w:hAnsi="Tahoma" w:cs="Tahoma"/>
        </w:rPr>
        <w:t>.</w:t>
      </w:r>
    </w:p>
    <w:p w14:paraId="6C0B6C99" w14:textId="77777777" w:rsidR="00862622" w:rsidRPr="00E41F2B" w:rsidRDefault="00862622" w:rsidP="00862622">
      <w:pPr>
        <w:pStyle w:val="Corpodetexto"/>
        <w:ind w:firstLine="1417"/>
        <w:rPr>
          <w:rFonts w:ascii="Calibri" w:eastAsiaTheme="minorEastAsia" w:hAnsi="Calibri" w:cs="Calibri"/>
          <w:lang w:eastAsia="ja-JP" w:bidi="ar-SA"/>
        </w:rPr>
      </w:pPr>
      <w:r w:rsidRPr="00E41F2B">
        <w:rPr>
          <w:rFonts w:ascii="Calibri" w:eastAsiaTheme="minorEastAsia" w:hAnsi="Calibri" w:cs="Calibri"/>
          <w:lang w:eastAsia="ja-JP" w:bidi="ar-SA"/>
        </w:rPr>
        <w:t xml:space="preserve">Requer a Ré que todas as intimações sejam encaminhadas ao escritório de seus patronos, sito na Rua do Passeio, 38, Torre 2, 15 andar, Sala 1509/1512 – Centro - CEP:20021-290 – RJ – Rio de Janeiro e que as publicações sejam realizadas, exclusivamente, em nome do patrono Dr. JOÃO ALVES BARBOSA FILHO, inscrito sob o nº OAB/RS 90657-A, sob pena de nulidade </w:t>
      </w:r>
      <w:proofErr w:type="gramStart"/>
      <w:r w:rsidRPr="00E41F2B">
        <w:rPr>
          <w:rFonts w:ascii="Calibri" w:eastAsiaTheme="minorEastAsia" w:hAnsi="Calibri" w:cs="Calibri"/>
          <w:lang w:eastAsia="ja-JP" w:bidi="ar-SA"/>
        </w:rPr>
        <w:t>das mesmas</w:t>
      </w:r>
      <w:proofErr w:type="gramEnd"/>
      <w:r w:rsidRPr="00E41F2B">
        <w:rPr>
          <w:rFonts w:ascii="Calibri" w:eastAsiaTheme="minorEastAsia" w:hAnsi="Calibri" w:cs="Calibri"/>
          <w:lang w:eastAsia="ja-JP" w:bidi="ar-SA"/>
        </w:rPr>
        <w:t>.</w:t>
      </w:r>
    </w:p>
    <w:p w14:paraId="4E24E3B0" w14:textId="77777777" w:rsidR="00630D28" w:rsidRDefault="00862622" w:rsidP="00EC3120">
      <w:pPr>
        <w:pStyle w:val="Corpodetexto"/>
        <w:ind w:left="1416" w:firstLine="1"/>
        <w:jc w:val="center"/>
        <w:rPr>
          <w:rFonts w:ascii="Calibri" w:eastAsiaTheme="minorEastAsia" w:hAnsi="Calibri" w:cs="Calibri"/>
          <w:lang w:eastAsia="ja-JP" w:bidi="ar-SA"/>
        </w:rPr>
      </w:pPr>
      <w:r w:rsidRPr="00E41F2B">
        <w:rPr>
          <w:rFonts w:ascii="Calibri" w:eastAsiaTheme="minorEastAsia" w:hAnsi="Calibri" w:cs="Calibri"/>
          <w:lang w:eastAsia="ja-JP" w:bidi="ar-SA"/>
        </w:rPr>
        <w:t>Nestes Termos,</w:t>
      </w:r>
      <w:r w:rsidRPr="00E41F2B">
        <w:rPr>
          <w:rFonts w:ascii="Calibri" w:eastAsiaTheme="minorEastAsia" w:hAnsi="Calibri" w:cs="Calibri"/>
          <w:lang w:eastAsia="ja-JP" w:bidi="ar-SA"/>
        </w:rPr>
        <w:br/>
        <w:t>Pede Deferimento,</w:t>
      </w:r>
    </w:p>
    <w:p w14:paraId="75E14D7A" w14:textId="0B6688C5" w:rsidR="00862622" w:rsidRPr="00E41F2B" w:rsidRDefault="00630D28" w:rsidP="00EC3120">
      <w:pPr>
        <w:pStyle w:val="Corpodetexto"/>
        <w:ind w:left="1416" w:firstLine="1"/>
        <w:jc w:val="center"/>
        <w:rPr>
          <w:rFonts w:ascii="Calibri" w:eastAsiaTheme="minorEastAsia" w:hAnsi="Calibri" w:cs="Calibri"/>
          <w:lang w:eastAsia="ja-JP" w:bidi="ar-SA"/>
        </w:rPr>
      </w:pPr>
      <w:r>
        <w:rPr>
          <w:rFonts w:ascii="Calibri" w:eastAsiaTheme="minorEastAsia" w:hAnsi="Calibri" w:cs="Calibri"/>
          <w:lang w:eastAsia="ja-JP" w:bidi="ar-SA"/>
        </w:rPr>
        <w:t>Rio Grande</w:t>
      </w:r>
      <w:r w:rsidR="00862622" w:rsidRPr="00E41F2B">
        <w:rPr>
          <w:rFonts w:ascii="Calibri" w:eastAsiaTheme="minorEastAsia" w:hAnsi="Calibri" w:cs="Calibri"/>
          <w:lang w:eastAsia="ja-JP" w:bidi="ar-SA"/>
        </w:rPr>
        <w:t xml:space="preserve">, </w:t>
      </w:r>
      <w:r w:rsidR="00E41F2B">
        <w:rPr>
          <w:rFonts w:ascii="Calibri" w:eastAsiaTheme="minorEastAsia" w:hAnsi="Calibri" w:cs="Calibri"/>
          <w:lang w:eastAsia="ja-JP" w:bidi="ar-SA"/>
        </w:rPr>
        <w:t>2</w:t>
      </w:r>
      <w:r>
        <w:rPr>
          <w:rFonts w:ascii="Calibri" w:eastAsiaTheme="minorEastAsia" w:hAnsi="Calibri" w:cs="Calibri"/>
          <w:lang w:eastAsia="ja-JP" w:bidi="ar-SA"/>
        </w:rPr>
        <w:t>7</w:t>
      </w:r>
      <w:r w:rsidR="00862622" w:rsidRPr="00E41F2B">
        <w:rPr>
          <w:rFonts w:ascii="Calibri" w:eastAsiaTheme="minorEastAsia" w:hAnsi="Calibri" w:cs="Calibri"/>
          <w:lang w:eastAsia="ja-JP" w:bidi="ar-SA"/>
        </w:rPr>
        <w:t xml:space="preserve"> de </w:t>
      </w:r>
      <w:r>
        <w:rPr>
          <w:rFonts w:ascii="Calibri" w:eastAsiaTheme="minorEastAsia" w:hAnsi="Calibri" w:cs="Calibri"/>
          <w:lang w:eastAsia="ja-JP" w:bidi="ar-SA"/>
        </w:rPr>
        <w:t>Outubro</w:t>
      </w:r>
      <w:r w:rsidR="00862622" w:rsidRPr="00E41F2B">
        <w:rPr>
          <w:rFonts w:ascii="Calibri" w:eastAsiaTheme="minorEastAsia" w:hAnsi="Calibri" w:cs="Calibri"/>
          <w:lang w:eastAsia="ja-JP" w:bidi="ar-SA"/>
        </w:rPr>
        <w:t xml:space="preserve"> de 2023.</w:t>
      </w:r>
    </w:p>
    <w:p w14:paraId="2AE38B69" w14:textId="09116481" w:rsidR="004C7639" w:rsidRPr="00E41F2B" w:rsidRDefault="00862622" w:rsidP="00862622">
      <w:pPr>
        <w:pStyle w:val="Corpodetexto"/>
        <w:ind w:left="1417"/>
        <w:jc w:val="center"/>
        <w:rPr>
          <w:rFonts w:ascii="Calibri" w:eastAsiaTheme="minorEastAsia" w:hAnsi="Calibri" w:cs="Calibri"/>
          <w:b/>
          <w:bCs/>
          <w:lang w:eastAsia="ja-JP" w:bidi="ar-SA"/>
        </w:rPr>
      </w:pPr>
      <w:r w:rsidRPr="00E41F2B">
        <w:rPr>
          <w:rFonts w:ascii="Calibri" w:eastAsiaTheme="minorEastAsia" w:hAnsi="Calibri" w:cs="Calibri"/>
          <w:b/>
          <w:bCs/>
          <w:lang w:eastAsia="ja-JP" w:bidi="ar-SA"/>
        </w:rPr>
        <w:t>JOÃO BARBOSA</w:t>
      </w:r>
      <w:r w:rsidRPr="00E41F2B">
        <w:rPr>
          <w:rFonts w:ascii="Calibri" w:eastAsiaTheme="minorEastAsia" w:hAnsi="Calibri" w:cs="Calibri"/>
          <w:b/>
          <w:bCs/>
          <w:lang w:eastAsia="ja-JP" w:bidi="ar-SA"/>
        </w:rPr>
        <w:br/>
        <w:t>OAB/RS 90657-A</w:t>
      </w:r>
    </w:p>
    <w:p w14:paraId="7A17B87E" w14:textId="77777777" w:rsidR="004C7639" w:rsidRPr="00E41F2B" w:rsidRDefault="004C7639" w:rsidP="004C7639">
      <w:pPr>
        <w:spacing w:before="200" w:after="200" w:line="240" w:lineRule="auto"/>
        <w:jc w:val="both"/>
        <w:rPr>
          <w:rFonts w:cs="Calibri"/>
          <w:sz w:val="24"/>
          <w:szCs w:val="24"/>
        </w:rPr>
      </w:pPr>
    </w:p>
    <w:p w14:paraId="60DCF190" w14:textId="0C354106" w:rsidR="00FA2C18" w:rsidRPr="003911A8" w:rsidRDefault="005941C5" w:rsidP="00E962C2">
      <w:pPr>
        <w:spacing w:before="200" w:after="200" w:line="240" w:lineRule="auto"/>
        <w:jc w:val="both"/>
        <w:rPr>
          <w:rFonts w:cs="Calibri"/>
          <w:sz w:val="24"/>
          <w:szCs w:val="24"/>
        </w:rPr>
      </w:pPr>
      <w:r w:rsidRPr="003911A8">
        <w:rPr>
          <w:rFonts w:cs="Calibri"/>
          <w:sz w:val="24"/>
          <w:szCs w:val="24"/>
        </w:rPr>
        <w:lastRenderedPageBreak/>
        <w:t> </w:t>
      </w:r>
    </w:p>
    <w:sectPr w:rsidR="00FA2C18" w:rsidRPr="003911A8" w:rsidSect="0076787A">
      <w:footerReference w:type="default" r:id="rId9"/>
      <w:pgSz w:w="11906" w:h="16838"/>
      <w:pgMar w:top="426" w:right="707" w:bottom="284" w:left="1134" w:header="147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2ABBA" w14:textId="77777777" w:rsidR="00B9775E" w:rsidRDefault="00B9775E">
      <w:pPr>
        <w:spacing w:after="0" w:line="240" w:lineRule="auto"/>
      </w:pPr>
      <w:r>
        <w:separator/>
      </w:r>
    </w:p>
  </w:endnote>
  <w:endnote w:type="continuationSeparator" w:id="0">
    <w:p w14:paraId="3AC79F85" w14:textId="77777777" w:rsidR="00B9775E" w:rsidRDefault="00B97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13502" w14:textId="77777777" w:rsidR="00FA2C18" w:rsidRDefault="005941C5" w:rsidP="00FE5317">
    <w:pPr>
      <w:pStyle w:val="Rodap"/>
      <w:jc w:val="center"/>
      <w:rPr>
        <w:sz w:val="18"/>
      </w:rPr>
    </w:pPr>
    <w:r w:rsidRPr="00FA2C18">
      <w:rPr>
        <w:sz w:val="18"/>
      </w:rPr>
      <w:t>Rua do Passeio, 38, Torre 2, 15º andar - Sala 1509/1512 – Centro - RJ – Rio de Janeiro - CEP:20021-290</w:t>
    </w:r>
  </w:p>
  <w:p w14:paraId="2F8B6DF0" w14:textId="77777777" w:rsidR="00FE5317" w:rsidRPr="00FE5317" w:rsidRDefault="005941C5" w:rsidP="00FE5317">
    <w:pPr>
      <w:pStyle w:val="Rodap"/>
      <w:jc w:val="center"/>
      <w:rPr>
        <w:sz w:val="18"/>
      </w:rPr>
    </w:pPr>
    <w:r w:rsidRPr="00FE5317">
      <w:rPr>
        <w:sz w:val="18"/>
      </w:rPr>
      <w:t>www.joaobarbosaadvass.com.br</w:t>
    </w:r>
  </w:p>
  <w:p w14:paraId="13054C5C" w14:textId="77777777" w:rsidR="00FE5317" w:rsidRDefault="00FE531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AAF6B" w14:textId="77777777" w:rsidR="00B9775E" w:rsidRDefault="00B9775E">
      <w:pPr>
        <w:spacing w:after="0" w:line="240" w:lineRule="auto"/>
      </w:pPr>
      <w:r>
        <w:separator/>
      </w:r>
    </w:p>
  </w:footnote>
  <w:footnote w:type="continuationSeparator" w:id="0">
    <w:p w14:paraId="2EBC208D" w14:textId="77777777" w:rsidR="00B9775E" w:rsidRDefault="00B977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11A32"/>
    <w:multiLevelType w:val="hybridMultilevel"/>
    <w:tmpl w:val="FD266818"/>
    <w:lvl w:ilvl="0" w:tplc="F52637E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207275F6"/>
    <w:multiLevelType w:val="hybridMultilevel"/>
    <w:tmpl w:val="67ACA37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03EB8"/>
    <w:multiLevelType w:val="hybridMultilevel"/>
    <w:tmpl w:val="4ACCDD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7034FC"/>
    <w:multiLevelType w:val="hybridMultilevel"/>
    <w:tmpl w:val="13B6A5B4"/>
    <w:lvl w:ilvl="0" w:tplc="D70ED4AA">
      <w:start w:val="1"/>
      <w:numFmt w:val="upperRoman"/>
      <w:lvlText w:val="%1."/>
      <w:lvlJc w:val="left"/>
      <w:pPr>
        <w:ind w:left="298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B2BFD"/>
    <w:multiLevelType w:val="hybridMultilevel"/>
    <w:tmpl w:val="3C36509E"/>
    <w:lvl w:ilvl="0" w:tplc="326CAC5A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CFF5FAF"/>
    <w:multiLevelType w:val="hybridMultilevel"/>
    <w:tmpl w:val="34EEE2BC"/>
    <w:lvl w:ilvl="0" w:tplc="0416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3600"/>
        </w:tabs>
        <w:ind w:left="3600" w:hanging="360"/>
      </w:pPr>
    </w:lvl>
    <w:lvl w:ilvl="2" w:tplc="0416001B">
      <w:start w:val="1"/>
      <w:numFmt w:val="decimal"/>
      <w:lvlText w:val="%3."/>
      <w:lvlJc w:val="left"/>
      <w:pPr>
        <w:tabs>
          <w:tab w:val="num" w:pos="4320"/>
        </w:tabs>
        <w:ind w:left="4320" w:hanging="360"/>
      </w:pPr>
    </w:lvl>
    <w:lvl w:ilvl="3" w:tplc="0416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60019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plc="0416001B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plc="0416000F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60019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plc="0416001B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6" w15:restartNumberingAfterBreak="0">
    <w:nsid w:val="74896CC1"/>
    <w:multiLevelType w:val="hybridMultilevel"/>
    <w:tmpl w:val="D72E8E5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295237">
    <w:abstractNumId w:val="3"/>
  </w:num>
  <w:num w:numId="2" w16cid:durableId="1010985544">
    <w:abstractNumId w:val="2"/>
  </w:num>
  <w:num w:numId="3" w16cid:durableId="10215132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56788521">
    <w:abstractNumId w:val="0"/>
  </w:num>
  <w:num w:numId="5" w16cid:durableId="123239763">
    <w:abstractNumId w:val="1"/>
  </w:num>
  <w:num w:numId="6" w16cid:durableId="1819496236">
    <w:abstractNumId w:val="4"/>
  </w:num>
  <w:num w:numId="7" w16cid:durableId="2609152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9B7"/>
    <w:rsid w:val="0004661C"/>
    <w:rsid w:val="00090C70"/>
    <w:rsid w:val="000C60A8"/>
    <w:rsid w:val="00181DE2"/>
    <w:rsid w:val="001D2A89"/>
    <w:rsid w:val="00255B3C"/>
    <w:rsid w:val="002D5FB7"/>
    <w:rsid w:val="00320DCE"/>
    <w:rsid w:val="00326B23"/>
    <w:rsid w:val="003349B7"/>
    <w:rsid w:val="0037684E"/>
    <w:rsid w:val="00387F34"/>
    <w:rsid w:val="003911A8"/>
    <w:rsid w:val="00396D72"/>
    <w:rsid w:val="003A6BC8"/>
    <w:rsid w:val="003E11A0"/>
    <w:rsid w:val="003F5DCE"/>
    <w:rsid w:val="00404C94"/>
    <w:rsid w:val="00486EBB"/>
    <w:rsid w:val="004C1027"/>
    <w:rsid w:val="004C7639"/>
    <w:rsid w:val="0052134B"/>
    <w:rsid w:val="00530F86"/>
    <w:rsid w:val="005663F9"/>
    <w:rsid w:val="005869BC"/>
    <w:rsid w:val="005941C5"/>
    <w:rsid w:val="005A5474"/>
    <w:rsid w:val="005D4224"/>
    <w:rsid w:val="005E226B"/>
    <w:rsid w:val="00630D28"/>
    <w:rsid w:val="00654BB2"/>
    <w:rsid w:val="00673F32"/>
    <w:rsid w:val="006B5371"/>
    <w:rsid w:val="006F66E3"/>
    <w:rsid w:val="006F7A6B"/>
    <w:rsid w:val="00701612"/>
    <w:rsid w:val="0076787A"/>
    <w:rsid w:val="007A3913"/>
    <w:rsid w:val="007C32EF"/>
    <w:rsid w:val="007E1F86"/>
    <w:rsid w:val="00862622"/>
    <w:rsid w:val="00873596"/>
    <w:rsid w:val="00874FFE"/>
    <w:rsid w:val="008765E4"/>
    <w:rsid w:val="008B00C4"/>
    <w:rsid w:val="008B1D23"/>
    <w:rsid w:val="008E1AB2"/>
    <w:rsid w:val="008F4CF5"/>
    <w:rsid w:val="00956E0D"/>
    <w:rsid w:val="00965291"/>
    <w:rsid w:val="009D3C6C"/>
    <w:rsid w:val="009E3B76"/>
    <w:rsid w:val="00A373F3"/>
    <w:rsid w:val="00A92778"/>
    <w:rsid w:val="00B9775E"/>
    <w:rsid w:val="00C81778"/>
    <w:rsid w:val="00CC074C"/>
    <w:rsid w:val="00DA4388"/>
    <w:rsid w:val="00DB59AA"/>
    <w:rsid w:val="00DE6C5E"/>
    <w:rsid w:val="00E015EA"/>
    <w:rsid w:val="00E41F2B"/>
    <w:rsid w:val="00E67247"/>
    <w:rsid w:val="00E962C2"/>
    <w:rsid w:val="00EB6B0C"/>
    <w:rsid w:val="00EC3120"/>
    <w:rsid w:val="00EC3A99"/>
    <w:rsid w:val="00F26943"/>
    <w:rsid w:val="00FA2C18"/>
    <w:rsid w:val="00FC007B"/>
    <w:rsid w:val="00FE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894B"/>
  <w15:docId w15:val="{A173964C-702F-4378-9A92-F2209F7BB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Corpodetexto"/>
    <w:link w:val="Ttulo2Char"/>
    <w:uiPriority w:val="9"/>
    <w:unhideWhenUsed/>
    <w:qFormat/>
    <w:rsid w:val="004C7639"/>
    <w:pPr>
      <w:keepNext/>
      <w:widowControl w:val="0"/>
      <w:suppressAutoHyphens/>
      <w:spacing w:before="397" w:after="397" w:line="360" w:lineRule="auto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zh-CN" w:bidi="hi-IN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626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317"/>
  </w:style>
  <w:style w:type="paragraph" w:styleId="Rodap">
    <w:name w:val="footer"/>
    <w:basedOn w:val="Normal"/>
    <w:link w:val="Rodap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317"/>
  </w:style>
  <w:style w:type="paragraph" w:styleId="NormalWeb">
    <w:name w:val="Normal (Web)"/>
    <w:basedOn w:val="Normal"/>
    <w:uiPriority w:val="99"/>
    <w:semiHidden/>
    <w:unhideWhenUsed/>
    <w:rsid w:val="005941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B0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rsid w:val="004C7639"/>
    <w:rPr>
      <w:rFonts w:ascii="Times New Roman" w:eastAsia="Times New Roman" w:hAnsi="Times New Roman"/>
      <w:b/>
      <w:bCs/>
      <w:sz w:val="24"/>
      <w:szCs w:val="24"/>
      <w:lang w:eastAsia="zh-CN" w:bidi="hi-IN"/>
    </w:rPr>
  </w:style>
  <w:style w:type="paragraph" w:styleId="Corpodetexto">
    <w:name w:val="Body Text"/>
    <w:basedOn w:val="Normal"/>
    <w:link w:val="CorpodetextoChar"/>
    <w:rsid w:val="004C7639"/>
    <w:pPr>
      <w:widowControl w:val="0"/>
      <w:suppressAutoHyphens/>
      <w:spacing w:before="397" w:after="397" w:line="360" w:lineRule="auto"/>
      <w:jc w:val="both"/>
    </w:pPr>
    <w:rPr>
      <w:rFonts w:ascii="Times New Roman" w:eastAsia="Times New Roman" w:hAnsi="Times New Roman"/>
      <w:sz w:val="24"/>
      <w:szCs w:val="24"/>
      <w:lang w:eastAsia="zh-CN" w:bidi="hi-IN"/>
    </w:rPr>
  </w:style>
  <w:style w:type="character" w:customStyle="1" w:styleId="CorpodetextoChar">
    <w:name w:val="Corpo de texto Char"/>
    <w:basedOn w:val="Fontepargpadro"/>
    <w:link w:val="Corpodetexto"/>
    <w:rsid w:val="004C7639"/>
    <w:rPr>
      <w:rFonts w:ascii="Times New Roman" w:eastAsia="Times New Roman" w:hAnsi="Times New Roman"/>
      <w:sz w:val="24"/>
      <w:szCs w:val="24"/>
      <w:lang w:eastAsia="zh-CN" w:bidi="hi-IN"/>
    </w:rPr>
  </w:style>
  <w:style w:type="paragraph" w:styleId="PargrafodaLista">
    <w:name w:val="List Paragraph"/>
    <w:aliases w:val="Normal numerado"/>
    <w:basedOn w:val="Normal"/>
    <w:uiPriority w:val="34"/>
    <w:qFormat/>
    <w:rsid w:val="0004661C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en-US" w:eastAsia="ja-JP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04661C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val="en-US" w:eastAsia="ja-JP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04661C"/>
    <w:rPr>
      <w:rFonts w:asciiTheme="minorHAnsi" w:eastAsiaTheme="minorEastAsia" w:hAnsiTheme="minorHAnsi" w:cstheme="minorBidi"/>
      <w:lang w:val="en-US" w:eastAsia="ja-JP"/>
    </w:rPr>
  </w:style>
  <w:style w:type="character" w:styleId="Refdenotaderodap">
    <w:name w:val="footnote reference"/>
    <w:aliases w:val="sobrescrito,Referência de rodapé"/>
    <w:basedOn w:val="Fontepargpadro"/>
    <w:unhideWhenUsed/>
    <w:rsid w:val="0004661C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86262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Corpodetexto2">
    <w:name w:val="Body Text 2"/>
    <w:basedOn w:val="Normal"/>
    <w:link w:val="Corpodetexto2Char"/>
    <w:rsid w:val="001D2A89"/>
    <w:pPr>
      <w:spacing w:after="120" w:line="480" w:lineRule="auto"/>
    </w:pPr>
    <w:rPr>
      <w:rFonts w:ascii="Cambria" w:eastAsia="Cambria" w:hAnsi="Cambria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rsid w:val="001D2A89"/>
    <w:rPr>
      <w:rFonts w:ascii="Cambria" w:eastAsia="Cambria" w:hAnsi="Cambri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03AE5-D997-4FE1-862F-68EBCCDF9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463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Walter Araujo</dc:creator>
  <cp:lastModifiedBy>Lohan dos Santos Mota</cp:lastModifiedBy>
  <cp:revision>2</cp:revision>
  <dcterms:created xsi:type="dcterms:W3CDTF">2023-10-28T00:47:00Z</dcterms:created>
  <dcterms:modified xsi:type="dcterms:W3CDTF">2023-10-28T00:47:00Z</dcterms:modified>
</cp:coreProperties>
</file>