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74ED884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77468F4A" w14:textId="0EA7E737" w:rsidR="00DA4388" w:rsidRPr="003911A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3E11A0">
        <w:rPr>
          <w:rFonts w:cs="Calibri"/>
        </w:rPr>
        <w:t> </w:t>
      </w:r>
      <w:r w:rsidRPr="003911A8">
        <w:rPr>
          <w:rFonts w:cs="Calibri"/>
          <w:b/>
          <w:bCs/>
          <w:sz w:val="24"/>
          <w:szCs w:val="24"/>
        </w:rPr>
        <w:t>EXM</w:t>
      </w:r>
      <w:r w:rsidR="0028643A">
        <w:rPr>
          <w:rFonts w:cs="Calibri"/>
          <w:b/>
          <w:bCs/>
          <w:sz w:val="24"/>
          <w:szCs w:val="24"/>
        </w:rPr>
        <w:t>O</w:t>
      </w:r>
      <w:r w:rsidRPr="003911A8">
        <w:rPr>
          <w:rFonts w:cs="Calibri"/>
          <w:b/>
          <w:bCs/>
          <w:sz w:val="24"/>
          <w:szCs w:val="24"/>
        </w:rPr>
        <w:t xml:space="preserve">. SR. DR. </w:t>
      </w:r>
      <w:r w:rsidR="000670EC">
        <w:rPr>
          <w:rFonts w:cs="Calibri"/>
          <w:b/>
          <w:bCs/>
          <w:sz w:val="24"/>
          <w:szCs w:val="24"/>
        </w:rPr>
        <w:t>JU</w:t>
      </w:r>
      <w:r w:rsidR="0028643A">
        <w:rPr>
          <w:rFonts w:cs="Calibri"/>
          <w:b/>
          <w:bCs/>
          <w:sz w:val="24"/>
          <w:szCs w:val="24"/>
        </w:rPr>
        <w:t>IZ</w:t>
      </w:r>
      <w:r w:rsidRPr="003911A8">
        <w:rPr>
          <w:rFonts w:cs="Calibri"/>
          <w:b/>
          <w:bCs/>
          <w:sz w:val="24"/>
          <w:szCs w:val="24"/>
        </w:rPr>
        <w:t xml:space="preserve"> </w:t>
      </w:r>
      <w:r w:rsidR="008B00C4" w:rsidRPr="003911A8">
        <w:rPr>
          <w:rFonts w:cs="Calibri"/>
          <w:b/>
          <w:bCs/>
          <w:sz w:val="24"/>
          <w:szCs w:val="24"/>
        </w:rPr>
        <w:t>FEDERAL</w:t>
      </w:r>
      <w:r w:rsidR="00EC3120">
        <w:rPr>
          <w:rFonts w:cs="Calibri"/>
          <w:b/>
          <w:bCs/>
          <w:sz w:val="24"/>
          <w:szCs w:val="24"/>
        </w:rPr>
        <w:t xml:space="preserve"> </w:t>
      </w:r>
      <w:r w:rsidR="004343F3">
        <w:rPr>
          <w:rFonts w:cs="Calibri"/>
          <w:b/>
          <w:bCs/>
          <w:sz w:val="24"/>
          <w:szCs w:val="24"/>
        </w:rPr>
        <w:t>VIVIAN JOSETE PANTALEÃO CAMINHA</w:t>
      </w:r>
      <w:r w:rsidR="00EC3120">
        <w:rPr>
          <w:rFonts w:cs="Calibri"/>
          <w:b/>
          <w:bCs/>
          <w:sz w:val="24"/>
          <w:szCs w:val="24"/>
        </w:rPr>
        <w:t xml:space="preserve"> RELATOR</w:t>
      </w:r>
      <w:r w:rsidR="004343F3">
        <w:rPr>
          <w:rFonts w:cs="Calibri"/>
          <w:b/>
          <w:bCs/>
          <w:sz w:val="24"/>
          <w:szCs w:val="24"/>
        </w:rPr>
        <w:t>A</w:t>
      </w:r>
      <w:r w:rsidR="00EC3120">
        <w:rPr>
          <w:rFonts w:cs="Calibri"/>
          <w:b/>
          <w:bCs/>
          <w:sz w:val="24"/>
          <w:szCs w:val="24"/>
        </w:rPr>
        <w:t xml:space="preserve"> DA </w:t>
      </w:r>
      <w:r w:rsidR="004343F3">
        <w:rPr>
          <w:rFonts w:cs="Calibri"/>
          <w:b/>
          <w:bCs/>
          <w:sz w:val="24"/>
          <w:szCs w:val="24"/>
        </w:rPr>
        <w:t>4</w:t>
      </w:r>
      <w:r w:rsidR="00EC3120">
        <w:rPr>
          <w:rFonts w:cs="Calibri"/>
          <w:b/>
          <w:bCs/>
          <w:sz w:val="24"/>
          <w:szCs w:val="24"/>
        </w:rPr>
        <w:t>ª TURMA</w:t>
      </w:r>
      <w:r w:rsidR="000670EC">
        <w:rPr>
          <w:rFonts w:cs="Calibri"/>
          <w:b/>
          <w:bCs/>
          <w:sz w:val="24"/>
          <w:szCs w:val="24"/>
        </w:rPr>
        <w:t xml:space="preserve"> RECURSAL</w:t>
      </w:r>
      <w:r w:rsidR="004C7639" w:rsidRPr="003911A8">
        <w:rPr>
          <w:rFonts w:cs="Calibri"/>
          <w:b/>
          <w:bCs/>
          <w:sz w:val="24"/>
          <w:szCs w:val="24"/>
        </w:rPr>
        <w:t xml:space="preserve"> </w:t>
      </w:r>
      <w:r w:rsidRPr="003911A8">
        <w:rPr>
          <w:rFonts w:cs="Calibri"/>
          <w:b/>
          <w:bCs/>
          <w:sz w:val="24"/>
          <w:szCs w:val="24"/>
        </w:rPr>
        <w:t>D</w:t>
      </w:r>
      <w:r w:rsidR="003A6BC8">
        <w:rPr>
          <w:rFonts w:cs="Calibri"/>
          <w:b/>
          <w:bCs/>
          <w:sz w:val="24"/>
          <w:szCs w:val="24"/>
        </w:rPr>
        <w:t>O TRIBUNAL REGIONAL FEDERAL DA 4ª REGIÃO</w:t>
      </w:r>
    </w:p>
    <w:p w14:paraId="68F3FC25" w14:textId="77777777" w:rsidR="00DA4388" w:rsidRPr="003911A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3911A8">
        <w:rPr>
          <w:rFonts w:cs="Calibri"/>
          <w:sz w:val="24"/>
          <w:szCs w:val="24"/>
        </w:rPr>
        <w:t> </w:t>
      </w:r>
    </w:p>
    <w:p w14:paraId="731D17CA" w14:textId="279553D7" w:rsidR="00DA4388" w:rsidRPr="003911A8" w:rsidRDefault="005941C5" w:rsidP="008B1D23">
      <w:pPr>
        <w:spacing w:before="200" w:after="200" w:line="240" w:lineRule="auto"/>
        <w:ind w:right="426"/>
        <w:jc w:val="both"/>
        <w:rPr>
          <w:rFonts w:cs="Calibri"/>
          <w:b/>
          <w:bCs/>
          <w:sz w:val="24"/>
          <w:szCs w:val="24"/>
        </w:rPr>
      </w:pPr>
      <w:r w:rsidRPr="003911A8">
        <w:rPr>
          <w:rFonts w:cs="Calibri"/>
          <w:b/>
          <w:bCs/>
          <w:sz w:val="24"/>
          <w:szCs w:val="24"/>
        </w:rPr>
        <w:t xml:space="preserve">Processo: </w:t>
      </w:r>
      <w:r w:rsidR="0028643A" w:rsidRPr="0028643A">
        <w:rPr>
          <w:rFonts w:cs="Calibri"/>
          <w:b/>
          <w:bCs/>
          <w:sz w:val="24"/>
          <w:szCs w:val="24"/>
        </w:rPr>
        <w:t>5001781-11.2020.4.04.7117/RS</w:t>
      </w:r>
    </w:p>
    <w:p w14:paraId="70D5ED8D" w14:textId="77777777" w:rsidR="005941C5" w:rsidRPr="003911A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</w:p>
    <w:p w14:paraId="70112798" w14:textId="55991C6E" w:rsidR="008F4CF5" w:rsidRPr="003911A8" w:rsidRDefault="005941C5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  <w:r w:rsidRPr="003911A8">
        <w:rPr>
          <w:rFonts w:cs="Calibri"/>
          <w:b/>
          <w:bCs/>
          <w:sz w:val="24"/>
          <w:szCs w:val="24"/>
        </w:rPr>
        <w:t>                              CAIXA ECONOMICA FEDERAL</w:t>
      </w:r>
      <w:r w:rsidRPr="003911A8">
        <w:rPr>
          <w:rFonts w:cs="Calibri"/>
          <w:sz w:val="24"/>
          <w:szCs w:val="24"/>
        </w:rPr>
        <w:t xml:space="preserve">, previamente qualificada nos autos do processo em epígrafe, neste ato, representada por seus advogados que </w:t>
      </w:r>
      <w:proofErr w:type="gramStart"/>
      <w:r w:rsidRPr="003911A8">
        <w:rPr>
          <w:rFonts w:cs="Calibri"/>
          <w:sz w:val="24"/>
          <w:szCs w:val="24"/>
        </w:rPr>
        <w:t>esta subscrevem</w:t>
      </w:r>
      <w:proofErr w:type="gramEnd"/>
      <w:r w:rsidRPr="003911A8">
        <w:rPr>
          <w:rFonts w:cs="Calibri"/>
          <w:sz w:val="24"/>
          <w:szCs w:val="24"/>
        </w:rPr>
        <w:t xml:space="preserve">, nos autos da </w:t>
      </w:r>
      <w:r w:rsidRPr="003911A8">
        <w:rPr>
          <w:rFonts w:cs="Calibri"/>
          <w:b/>
          <w:bCs/>
          <w:i/>
          <w:iCs/>
          <w:sz w:val="24"/>
          <w:szCs w:val="24"/>
        </w:rPr>
        <w:t xml:space="preserve">AÇÃO </w:t>
      </w:r>
      <w:r w:rsidR="004C7639" w:rsidRPr="003911A8">
        <w:rPr>
          <w:rFonts w:cs="Calibri"/>
          <w:b/>
          <w:bCs/>
          <w:i/>
          <w:iCs/>
          <w:sz w:val="24"/>
          <w:szCs w:val="24"/>
        </w:rPr>
        <w:t xml:space="preserve">DE </w:t>
      </w:r>
      <w:r w:rsidR="0028643A">
        <w:rPr>
          <w:rFonts w:cs="Calibri"/>
          <w:b/>
          <w:bCs/>
          <w:i/>
          <w:iCs/>
          <w:sz w:val="24"/>
          <w:szCs w:val="24"/>
        </w:rPr>
        <w:t>INDENIZAÇÃO POR DANOS MATERIAIS E MORAIS</w:t>
      </w:r>
      <w:r w:rsidRPr="003911A8">
        <w:rPr>
          <w:rFonts w:cs="Calibri"/>
          <w:b/>
          <w:bCs/>
          <w:i/>
          <w:iCs/>
          <w:sz w:val="24"/>
          <w:szCs w:val="24"/>
        </w:rPr>
        <w:t xml:space="preserve">, </w:t>
      </w:r>
      <w:r w:rsidRPr="003911A8">
        <w:rPr>
          <w:rFonts w:cs="Calibri"/>
          <w:sz w:val="24"/>
          <w:szCs w:val="24"/>
        </w:rPr>
        <w:t xml:space="preserve">que lhe promove </w:t>
      </w:r>
      <w:r w:rsidR="004343F3" w:rsidRPr="004343F3">
        <w:rPr>
          <w:rFonts w:cs="Calibri"/>
          <w:b/>
          <w:bCs/>
          <w:sz w:val="24"/>
          <w:szCs w:val="24"/>
        </w:rPr>
        <w:t>JANAINA MARIA BICIGO DE QUADROS</w:t>
      </w:r>
      <w:r w:rsidR="00320DCE" w:rsidRPr="003911A8">
        <w:rPr>
          <w:rFonts w:cs="Calibri"/>
          <w:b/>
          <w:bCs/>
          <w:sz w:val="24"/>
          <w:szCs w:val="24"/>
        </w:rPr>
        <w:t xml:space="preserve">, </w:t>
      </w:r>
      <w:r w:rsidR="00E962C2" w:rsidRPr="003911A8">
        <w:rPr>
          <w:rFonts w:cs="Calibri"/>
          <w:sz w:val="24"/>
          <w:szCs w:val="24"/>
        </w:rPr>
        <w:t xml:space="preserve">vem, por seus advogados abaixo assinados, em atenção ao </w:t>
      </w:r>
      <w:r w:rsidR="00090C70" w:rsidRPr="003911A8">
        <w:rPr>
          <w:rFonts w:cs="Calibri"/>
          <w:sz w:val="24"/>
          <w:szCs w:val="24"/>
        </w:rPr>
        <w:t>recurso interposto pela parte autora</w:t>
      </w:r>
      <w:r w:rsidR="00E962C2" w:rsidRPr="003911A8">
        <w:rPr>
          <w:rFonts w:cs="Calibri"/>
          <w:sz w:val="24"/>
          <w:szCs w:val="24"/>
        </w:rPr>
        <w:t>,</w:t>
      </w:r>
      <w:r w:rsidR="00320DCE" w:rsidRPr="003911A8">
        <w:rPr>
          <w:rFonts w:cs="Calibri"/>
          <w:sz w:val="24"/>
          <w:szCs w:val="24"/>
        </w:rPr>
        <w:t xml:space="preserve"> pelas razões e fundamentos a seguir expostos,</w:t>
      </w:r>
      <w:r w:rsidR="004C7639" w:rsidRPr="003911A8">
        <w:rPr>
          <w:rFonts w:cs="Calibri"/>
          <w:sz w:val="24"/>
          <w:szCs w:val="24"/>
        </w:rPr>
        <w:t xml:space="preserve"> apresentar suas:</w:t>
      </w:r>
    </w:p>
    <w:p w14:paraId="7FFA8188" w14:textId="484840B5" w:rsidR="004C7639" w:rsidRPr="003911A8" w:rsidRDefault="004C7639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</w:p>
    <w:p w14:paraId="16E734CD" w14:textId="2C488F63" w:rsidR="004C7639" w:rsidRPr="003911A8" w:rsidRDefault="004C7639" w:rsidP="00396D72">
      <w:pPr>
        <w:spacing w:line="320" w:lineRule="exact"/>
        <w:ind w:right="426" w:firstLine="1440"/>
        <w:jc w:val="center"/>
        <w:rPr>
          <w:rFonts w:cs="Calibri"/>
          <w:b/>
          <w:bCs/>
          <w:sz w:val="24"/>
          <w:szCs w:val="24"/>
          <w:u w:val="single"/>
        </w:rPr>
      </w:pPr>
      <w:r w:rsidRPr="003911A8">
        <w:rPr>
          <w:rFonts w:cs="Calibri"/>
          <w:b/>
          <w:bCs/>
          <w:sz w:val="24"/>
          <w:szCs w:val="24"/>
          <w:u w:val="single"/>
        </w:rPr>
        <w:t>CONTRARRAZÕES AO</w:t>
      </w:r>
      <w:r w:rsidR="00FC007B">
        <w:rPr>
          <w:rFonts w:cs="Calibri"/>
          <w:b/>
          <w:bCs/>
          <w:sz w:val="24"/>
          <w:szCs w:val="24"/>
          <w:u w:val="single"/>
        </w:rPr>
        <w:t>S</w:t>
      </w:r>
      <w:r w:rsidRPr="003911A8">
        <w:rPr>
          <w:rFonts w:cs="Calibri"/>
          <w:b/>
          <w:bCs/>
          <w:sz w:val="24"/>
          <w:szCs w:val="24"/>
          <w:u w:val="single"/>
        </w:rPr>
        <w:t xml:space="preserve"> </w:t>
      </w:r>
      <w:r w:rsidR="00FC007B">
        <w:rPr>
          <w:rFonts w:cs="Calibri"/>
          <w:b/>
          <w:bCs/>
          <w:sz w:val="24"/>
          <w:szCs w:val="24"/>
          <w:u w:val="single"/>
        </w:rPr>
        <w:t>EMBARGOS DE DECLARAÇÃO</w:t>
      </w:r>
    </w:p>
    <w:p w14:paraId="11F6A7B2" w14:textId="77777777" w:rsidR="00673F32" w:rsidRPr="003911A8" w:rsidRDefault="00673F32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29541AA5" w14:textId="77777777" w:rsidR="00FC007B" w:rsidRPr="006D7FCB" w:rsidRDefault="00FC007B" w:rsidP="00FC007B">
      <w:pPr>
        <w:pStyle w:val="PargrafodaLista"/>
        <w:widowControl w:val="0"/>
        <w:numPr>
          <w:ilvl w:val="0"/>
          <w:numId w:val="7"/>
        </w:numPr>
        <w:suppressAutoHyphens/>
        <w:spacing w:line="320" w:lineRule="exact"/>
        <w:contextualSpacing w:val="0"/>
        <w:jc w:val="center"/>
        <w:rPr>
          <w:rFonts w:ascii="Tahoma" w:eastAsia="Times New Roman" w:hAnsi="Tahoma" w:cs="Tahoma"/>
          <w:b/>
          <w:smallCaps/>
          <w:u w:val="single"/>
        </w:rPr>
      </w:pP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Impossibilidade</w:t>
      </w:r>
      <w:proofErr w:type="spellEnd"/>
      <w:r w:rsidRPr="006D7FCB">
        <w:rPr>
          <w:rFonts w:ascii="Tahoma" w:eastAsia="Times New Roman" w:hAnsi="Tahoma" w:cs="Tahoma"/>
          <w:b/>
          <w:smallCaps/>
          <w:u w:val="single"/>
        </w:rPr>
        <w:t xml:space="preserve"> de </w:t>
      </w: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manejo</w:t>
      </w:r>
      <w:proofErr w:type="spellEnd"/>
      <w:r w:rsidRPr="006D7FCB">
        <w:rPr>
          <w:rFonts w:ascii="Tahoma" w:eastAsia="Times New Roman" w:hAnsi="Tahoma" w:cs="Tahoma"/>
          <w:b/>
          <w:smallCaps/>
          <w:u w:val="single"/>
        </w:rPr>
        <w:t xml:space="preserve"> de embargos de </w:t>
      </w: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declaração</w:t>
      </w:r>
      <w:proofErr w:type="spellEnd"/>
    </w:p>
    <w:p w14:paraId="1A8EF227" w14:textId="77777777" w:rsidR="00FC007B" w:rsidRPr="006D7FCB" w:rsidRDefault="00FC007B" w:rsidP="00FC007B">
      <w:pPr>
        <w:spacing w:line="320" w:lineRule="exact"/>
        <w:jc w:val="center"/>
        <w:rPr>
          <w:rFonts w:ascii="Tahoma" w:eastAsia="Times New Roman" w:hAnsi="Tahoma" w:cs="Tahoma"/>
          <w:b/>
          <w:smallCaps/>
          <w:u w:val="single"/>
        </w:rPr>
      </w:pPr>
      <w:r w:rsidRPr="006D7FCB">
        <w:rPr>
          <w:rFonts w:ascii="Tahoma" w:eastAsia="Times New Roman" w:hAnsi="Tahoma" w:cs="Tahoma"/>
          <w:b/>
          <w:smallCaps/>
          <w:u w:val="single"/>
        </w:rPr>
        <w:t>Para reexame do v. Acórdão</w:t>
      </w:r>
    </w:p>
    <w:p w14:paraId="78EC7D35" w14:textId="77777777" w:rsidR="00FC007B" w:rsidRPr="006D7FCB" w:rsidRDefault="00FC007B" w:rsidP="00FC007B">
      <w:pPr>
        <w:widowControl w:val="0"/>
        <w:spacing w:line="320" w:lineRule="exact"/>
        <w:ind w:firstLine="709"/>
        <w:jc w:val="both"/>
        <w:rPr>
          <w:rFonts w:ascii="Tahoma" w:eastAsia="Cambria" w:hAnsi="Tahoma" w:cs="Tahoma"/>
          <w:color w:val="0D0D0D"/>
        </w:rPr>
      </w:pPr>
    </w:p>
    <w:p w14:paraId="238C5F8E" w14:textId="5638269E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eastAsia="Cambria" w:hAnsi="Tahoma" w:cs="Tahoma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>Malgrado o esforço intentado pela parte Embargante, fato é que o julgado não padece de qualquer vício de contradição omissão ou obscuridade, suscitados nos Embargos Declaratórios em questão</w:t>
      </w:r>
      <w:r>
        <w:rPr>
          <w:rFonts w:ascii="Tahoma" w:eastAsia="Cambria" w:hAnsi="Tahoma" w:cs="Tahoma"/>
        </w:rPr>
        <w:t>.</w:t>
      </w:r>
    </w:p>
    <w:p w14:paraId="6ED1F42C" w14:textId="59C0D855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 xml:space="preserve"> Em verdade, o que a parte Embargante pretende é o reexame do julgado, o que não se admite pela via dos embargos de declaração.</w:t>
      </w:r>
    </w:p>
    <w:p w14:paraId="07911F91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eastAsia="Cambria" w:hAnsi="Tahoma" w:cs="Tahoma"/>
        </w:rPr>
      </w:pPr>
    </w:p>
    <w:p w14:paraId="6574C096" w14:textId="0948B5BB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 xml:space="preserve">Fato é que a Embargante não se conformou com o resultado do julgamento, buscando, através dos presentes embargos, obter efeito modificativo do julgado. </w:t>
      </w:r>
    </w:p>
    <w:p w14:paraId="4B0D1C33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eastAsia="Cambria" w:hAnsi="Tahoma" w:cs="Tahoma"/>
        </w:rPr>
      </w:pPr>
    </w:p>
    <w:p w14:paraId="50FFA4F9" w14:textId="4DF3491D" w:rsidR="00FC007B" w:rsidRPr="001B4138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>Isso, como regra, é INADMISSÍVEL, porque os embargos de declaração não constituem recurso idôneo para corrigir os fundamentos do acórdão ou para provocar o reexame de questões da decididas</w:t>
      </w:r>
      <w:r>
        <w:rPr>
          <w:rFonts w:ascii="Tahoma" w:eastAsia="Cambria" w:hAnsi="Tahoma" w:cs="Tahoma"/>
        </w:rPr>
        <w:t>, no caso em concreto, majoração de Danos Morais já entendida como incabível ao caso concreto</w:t>
      </w:r>
      <w:r w:rsidRPr="006D7FCB">
        <w:rPr>
          <w:rFonts w:ascii="Tahoma" w:eastAsia="Cambria" w:hAnsi="Tahoma" w:cs="Tahoma"/>
        </w:rPr>
        <w:t xml:space="preserve">. </w:t>
      </w:r>
    </w:p>
    <w:p w14:paraId="7A68B321" w14:textId="77777777" w:rsidR="00FC007B" w:rsidRDefault="00FC007B" w:rsidP="00FC007B">
      <w:pPr>
        <w:pStyle w:val="PargrafodaLista"/>
        <w:rPr>
          <w:rFonts w:ascii="Tahoma" w:hAnsi="Tahoma" w:cs="Tahoma"/>
          <w:b/>
          <w:smallCaps/>
          <w:u w:val="single"/>
        </w:rPr>
      </w:pPr>
    </w:p>
    <w:p w14:paraId="1DACEE8E" w14:textId="77777777" w:rsidR="00FC007B" w:rsidRDefault="00FC007B" w:rsidP="00FC007B">
      <w:pPr>
        <w:widowControl w:val="0"/>
        <w:tabs>
          <w:tab w:val="left" w:pos="709"/>
          <w:tab w:val="left" w:pos="1418"/>
        </w:tabs>
        <w:spacing w:line="320" w:lineRule="exact"/>
        <w:jc w:val="both"/>
        <w:rPr>
          <w:rFonts w:ascii="Tahoma" w:hAnsi="Tahoma" w:cs="Tahoma"/>
          <w:b/>
          <w:smallCaps/>
          <w:u w:val="single"/>
        </w:rPr>
      </w:pPr>
    </w:p>
    <w:p w14:paraId="0E4870EA" w14:textId="77777777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line="320" w:lineRule="exact"/>
        <w:jc w:val="both"/>
        <w:rPr>
          <w:rFonts w:ascii="Tahoma" w:hAnsi="Tahoma" w:cs="Tahoma"/>
          <w:b/>
          <w:smallCaps/>
          <w:u w:val="single"/>
        </w:rPr>
      </w:pPr>
    </w:p>
    <w:p w14:paraId="0C2084BF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hAnsi="Tahoma" w:cs="Tahoma"/>
          <w:b/>
          <w:smallCaps/>
          <w:u w:val="single"/>
        </w:rPr>
      </w:pPr>
    </w:p>
    <w:p w14:paraId="56914EA7" w14:textId="165ECD36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eastAsia="Cambria" w:hAnsi="Tahoma" w:cs="Tahoma"/>
        </w:rPr>
      </w:pPr>
      <w:r>
        <w:rPr>
          <w:rFonts w:ascii="Tahoma" w:eastAsia="Cambria" w:hAnsi="Tahoma" w:cs="Tahoma"/>
        </w:rPr>
        <w:lastRenderedPageBreak/>
        <w:tab/>
      </w:r>
      <w:r w:rsidRPr="006D7FCB">
        <w:rPr>
          <w:rFonts w:ascii="Tahoma" w:eastAsia="Cambria" w:hAnsi="Tahoma" w:cs="Tahoma"/>
        </w:rPr>
        <w:t xml:space="preserve">A nossa Corte Superior de Justiça firmou entendimento nesse sentido ao decidir, </w:t>
      </w:r>
      <w:r w:rsidRPr="006D7FCB">
        <w:rPr>
          <w:rFonts w:ascii="Tahoma" w:eastAsia="Cambria" w:hAnsi="Tahoma" w:cs="Tahoma"/>
          <w:i/>
          <w:iCs/>
          <w:u w:val="single"/>
        </w:rPr>
        <w:t xml:space="preserve">in </w:t>
      </w:r>
      <w:proofErr w:type="spellStart"/>
      <w:r w:rsidRPr="006D7FCB">
        <w:rPr>
          <w:rFonts w:ascii="Tahoma" w:eastAsia="Cambria" w:hAnsi="Tahoma" w:cs="Tahoma"/>
          <w:i/>
          <w:iCs/>
          <w:u w:val="single"/>
        </w:rPr>
        <w:t>verbis</w:t>
      </w:r>
      <w:proofErr w:type="spellEnd"/>
      <w:r w:rsidRPr="006D7FCB">
        <w:rPr>
          <w:rFonts w:ascii="Tahoma" w:eastAsia="Cambria" w:hAnsi="Tahoma" w:cs="Tahoma"/>
          <w:i/>
          <w:iCs/>
          <w:u w:val="single"/>
        </w:rPr>
        <w:t>:</w:t>
      </w:r>
    </w:p>
    <w:p w14:paraId="1F835082" w14:textId="77777777" w:rsidR="00FC007B" w:rsidRPr="006D7FCB" w:rsidRDefault="00FC007B" w:rsidP="00FC007B">
      <w:pPr>
        <w:widowControl w:val="0"/>
        <w:tabs>
          <w:tab w:val="left" w:pos="1418"/>
        </w:tabs>
        <w:spacing w:line="320" w:lineRule="exact"/>
        <w:ind w:firstLine="709"/>
        <w:jc w:val="both"/>
        <w:rPr>
          <w:rFonts w:ascii="Tahoma" w:eastAsia="Cambria" w:hAnsi="Tahoma" w:cs="Tahoma"/>
        </w:rPr>
      </w:pPr>
    </w:p>
    <w:p w14:paraId="0BB45E07" w14:textId="77777777" w:rsidR="00FC007B" w:rsidRPr="006D7FCB" w:rsidRDefault="00FC007B" w:rsidP="00FC007B">
      <w:pPr>
        <w:tabs>
          <w:tab w:val="left" w:pos="900"/>
        </w:tabs>
        <w:ind w:left="2268"/>
        <w:jc w:val="both"/>
        <w:rPr>
          <w:rFonts w:ascii="Tahoma" w:hAnsi="Tahoma" w:cs="Tahoma"/>
        </w:rPr>
      </w:pPr>
      <w:r w:rsidRPr="006D7FCB">
        <w:rPr>
          <w:rFonts w:ascii="Tahoma" w:hAnsi="Tahoma" w:cs="Tahoma"/>
        </w:rPr>
        <w:t>“</w:t>
      </w:r>
      <w:r w:rsidRPr="006D7FCB">
        <w:rPr>
          <w:rFonts w:ascii="Tahoma" w:hAnsi="Tahoma" w:cs="Tahoma"/>
          <w:b/>
          <w:u w:val="single"/>
        </w:rPr>
        <w:t>Não pode ser conhecido recurso, que, sob o rótulo de embargos declaratórios, pretendem substituir a decisão recorrida por outra. Os embargos declaratórios são apelos de integração e não de substituição</w:t>
      </w:r>
      <w:r w:rsidRPr="006D7FCB">
        <w:rPr>
          <w:rFonts w:ascii="Tahoma" w:hAnsi="Tahoma" w:cs="Tahoma"/>
        </w:rPr>
        <w:t>.” (STJ, 1ª Turma, Resp. 15.774-O-SP, Rel. Min. Humberto Gomes Barros</w:t>
      </w:r>
      <w:proofErr w:type="gramStart"/>
      <w:r w:rsidRPr="006D7FCB">
        <w:rPr>
          <w:rFonts w:ascii="Tahoma" w:hAnsi="Tahoma" w:cs="Tahoma"/>
        </w:rPr>
        <w:t>).(</w:t>
      </w:r>
      <w:proofErr w:type="gramEnd"/>
      <w:r w:rsidRPr="006D7FCB">
        <w:rPr>
          <w:rFonts w:ascii="Tahoma" w:hAnsi="Tahoma" w:cs="Tahoma"/>
        </w:rPr>
        <w:t>grifamos)</w:t>
      </w:r>
    </w:p>
    <w:p w14:paraId="2187DB02" w14:textId="77777777" w:rsidR="00FC007B" w:rsidRPr="006D7FCB" w:rsidRDefault="00FC007B" w:rsidP="00EC3120">
      <w:pPr>
        <w:tabs>
          <w:tab w:val="left" w:pos="900"/>
        </w:tabs>
        <w:spacing w:line="320" w:lineRule="exact"/>
        <w:jc w:val="both"/>
        <w:rPr>
          <w:rFonts w:ascii="Tahoma" w:hAnsi="Tahoma" w:cs="Tahoma"/>
          <w:b/>
          <w:u w:val="single"/>
        </w:rPr>
      </w:pPr>
    </w:p>
    <w:p w14:paraId="73E9927F" w14:textId="50F9B342" w:rsidR="00FC007B" w:rsidRPr="006D7FCB" w:rsidRDefault="00FC007B" w:rsidP="00EC3120">
      <w:pPr>
        <w:widowControl w:val="0"/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Pr="006D7FCB">
        <w:rPr>
          <w:rFonts w:ascii="Tahoma" w:hAnsi="Tahoma" w:cs="Tahoma"/>
        </w:rPr>
        <w:t xml:space="preserve">Ademais, o r. acórdão ora embargado não padece de qualquer dos vícios suscitados nos </w:t>
      </w:r>
      <w:proofErr w:type="spellStart"/>
      <w:r w:rsidRPr="006D7FCB">
        <w:rPr>
          <w:rFonts w:ascii="Tahoma" w:hAnsi="Tahoma" w:cs="Tahoma"/>
        </w:rPr>
        <w:t>aclaratórios</w:t>
      </w:r>
      <w:proofErr w:type="spellEnd"/>
      <w:r w:rsidRPr="006D7FCB">
        <w:rPr>
          <w:rFonts w:ascii="Tahoma" w:hAnsi="Tahoma" w:cs="Tahoma"/>
        </w:rPr>
        <w:t xml:space="preserve"> em questão, não estando aqui presentes os requisitos do artigo 1.022, do CPC.</w:t>
      </w:r>
    </w:p>
    <w:p w14:paraId="62A609DF" w14:textId="77777777" w:rsidR="00FC007B" w:rsidRPr="006D7FCB" w:rsidRDefault="00FC007B" w:rsidP="00EC3120">
      <w:pPr>
        <w:widowControl w:val="0"/>
        <w:tabs>
          <w:tab w:val="left" w:pos="709"/>
        </w:tabs>
        <w:spacing w:line="320" w:lineRule="exact"/>
        <w:jc w:val="both"/>
        <w:rPr>
          <w:rFonts w:ascii="Tahoma" w:hAnsi="Tahoma" w:cs="Tahoma"/>
        </w:rPr>
      </w:pPr>
    </w:p>
    <w:p w14:paraId="16D5940B" w14:textId="70498ED7" w:rsidR="00FC007B" w:rsidRPr="006D7FCB" w:rsidRDefault="00FC007B" w:rsidP="00EC3120">
      <w:pPr>
        <w:widowControl w:val="0"/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Pr="006D7FCB">
        <w:rPr>
          <w:rFonts w:ascii="Tahoma" w:hAnsi="Tahoma" w:cs="Tahoma"/>
        </w:rPr>
        <w:t>Assim, é evidente que o pedido da parte Embargante de reforma do acórdão deve ser negado pelo Poder Judiciário, diante da ausência de fundamentos legais.</w:t>
      </w:r>
    </w:p>
    <w:p w14:paraId="1A9D3048" w14:textId="77777777" w:rsidR="00FC007B" w:rsidRPr="006D7FCB" w:rsidRDefault="00FC007B" w:rsidP="00EC3120">
      <w:pPr>
        <w:pStyle w:val="PargrafodaLista"/>
        <w:tabs>
          <w:tab w:val="left" w:pos="709"/>
        </w:tabs>
        <w:spacing w:line="320" w:lineRule="exact"/>
        <w:ind w:left="0" w:firstLine="709"/>
        <w:jc w:val="both"/>
        <w:rPr>
          <w:rFonts w:ascii="Tahoma" w:hAnsi="Tahoma" w:cs="Tahoma"/>
        </w:rPr>
      </w:pPr>
    </w:p>
    <w:p w14:paraId="0BE95C13" w14:textId="2368E60C" w:rsidR="001D2A89" w:rsidRDefault="00FC007B" w:rsidP="00EC3120">
      <w:pPr>
        <w:tabs>
          <w:tab w:val="left" w:pos="0"/>
        </w:tabs>
        <w:spacing w:line="320" w:lineRule="exact"/>
        <w:ind w:firstLine="709"/>
        <w:jc w:val="both"/>
        <w:rPr>
          <w:rFonts w:ascii="Tahoma" w:hAnsi="Tahoma" w:cs="Tahoma"/>
        </w:rPr>
      </w:pPr>
      <w:r w:rsidRPr="006D7FCB">
        <w:rPr>
          <w:rFonts w:ascii="Tahoma" w:hAnsi="Tahoma" w:cs="Tahoma"/>
        </w:rPr>
        <w:t>Ante o exposto, a Embargada confia que se negará provimento aos Embargos de Declaração</w:t>
      </w:r>
      <w:r w:rsidR="00EC3120">
        <w:rPr>
          <w:rFonts w:ascii="Tahoma" w:hAnsi="Tahoma" w:cs="Tahoma"/>
        </w:rPr>
        <w:t xml:space="preserve"> </w:t>
      </w:r>
      <w:r w:rsidRPr="006D7FCB">
        <w:rPr>
          <w:rFonts w:ascii="Tahoma" w:hAnsi="Tahoma" w:cs="Tahoma"/>
        </w:rPr>
        <w:t>interpostos, como medida de direito.</w:t>
      </w:r>
    </w:p>
    <w:p w14:paraId="04CF5BE4" w14:textId="77777777" w:rsidR="00EC3120" w:rsidRDefault="00EC3120" w:rsidP="00FC007B">
      <w:pPr>
        <w:tabs>
          <w:tab w:val="left" w:pos="0"/>
        </w:tabs>
        <w:spacing w:line="320" w:lineRule="exact"/>
        <w:ind w:left="360"/>
        <w:jc w:val="center"/>
        <w:rPr>
          <w:rFonts w:ascii="Tahoma" w:hAnsi="Tahoma" w:cs="Tahoma"/>
          <w:b/>
          <w:bCs/>
          <w:smallCaps/>
          <w:sz w:val="24"/>
          <w:szCs w:val="24"/>
          <w:u w:val="single"/>
        </w:rPr>
      </w:pPr>
    </w:p>
    <w:p w14:paraId="6F5585DD" w14:textId="77777777" w:rsidR="004343F3" w:rsidRPr="003911A8" w:rsidRDefault="004343F3" w:rsidP="004343F3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1926FD21" w14:textId="7D823E13" w:rsidR="004343F3" w:rsidRPr="004343F3" w:rsidRDefault="004343F3" w:rsidP="004343F3">
      <w:pPr>
        <w:pStyle w:val="PargrafodaLista"/>
        <w:widowControl w:val="0"/>
        <w:numPr>
          <w:ilvl w:val="0"/>
          <w:numId w:val="7"/>
        </w:numPr>
        <w:suppressAutoHyphens/>
        <w:spacing w:line="320" w:lineRule="exact"/>
        <w:contextualSpacing w:val="0"/>
        <w:jc w:val="center"/>
        <w:rPr>
          <w:rFonts w:ascii="Tahoma" w:eastAsia="Times New Roman" w:hAnsi="Tahoma" w:cs="Tahoma"/>
          <w:b/>
          <w:smallCaps/>
          <w:u w:val="single"/>
          <w:lang w:val="pt-BR"/>
        </w:rPr>
      </w:pPr>
      <w:r>
        <w:rPr>
          <w:rFonts w:ascii="Tahoma" w:eastAsia="Times New Roman" w:hAnsi="Tahoma" w:cs="Tahoma"/>
          <w:b/>
          <w:smallCaps/>
          <w:u w:val="single"/>
          <w:lang w:val="pt-BR"/>
        </w:rPr>
        <w:t>Da Deserção</w:t>
      </w:r>
    </w:p>
    <w:p w14:paraId="773C2EB5" w14:textId="77777777" w:rsidR="004343F3" w:rsidRPr="004343F3" w:rsidRDefault="004343F3" w:rsidP="004343F3">
      <w:pPr>
        <w:pStyle w:val="PargrafodaLista"/>
        <w:widowControl w:val="0"/>
        <w:tabs>
          <w:tab w:val="left" w:pos="1042"/>
        </w:tabs>
        <w:autoSpaceDE w:val="0"/>
        <w:autoSpaceDN w:val="0"/>
        <w:spacing w:before="101" w:line="266" w:lineRule="auto"/>
        <w:ind w:left="332" w:right="250"/>
        <w:contextualSpacing w:val="0"/>
        <w:jc w:val="both"/>
        <w:rPr>
          <w:rFonts w:ascii="Tahoma" w:eastAsia="Calibri" w:hAnsi="Tahoma" w:cs="Tahoma"/>
          <w:sz w:val="22"/>
          <w:szCs w:val="22"/>
          <w:lang w:val="pt-BR" w:eastAsia="en-US"/>
        </w:rPr>
      </w:pP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ab/>
      </w:r>
    </w:p>
    <w:p w14:paraId="59D2C7F8" w14:textId="4C7ABF04" w:rsidR="004343F3" w:rsidRPr="004343F3" w:rsidRDefault="004343F3" w:rsidP="004343F3">
      <w:pPr>
        <w:pStyle w:val="PargrafodaLista"/>
        <w:widowControl w:val="0"/>
        <w:tabs>
          <w:tab w:val="left" w:pos="1042"/>
        </w:tabs>
        <w:autoSpaceDE w:val="0"/>
        <w:autoSpaceDN w:val="0"/>
        <w:spacing w:before="101" w:line="266" w:lineRule="auto"/>
        <w:ind w:left="332" w:right="250"/>
        <w:contextualSpacing w:val="0"/>
        <w:jc w:val="both"/>
        <w:rPr>
          <w:rFonts w:ascii="Tahoma" w:eastAsia="Calibri" w:hAnsi="Tahoma" w:cs="Tahoma"/>
          <w:sz w:val="22"/>
          <w:szCs w:val="22"/>
          <w:lang w:val="pt-BR" w:eastAsia="en-US"/>
        </w:rPr>
      </w:pP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 xml:space="preserve">De imediato é necessário esclarecer que o </w:t>
      </w: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>recurso</w:t>
      </w: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 xml:space="preserve"> busca discutir questões atinentes única e exclusivamente aos honorários de sucumbência, já demonstrados como indevidos por todos os argumentos já expostos no agravo de instrumento provido.</w:t>
      </w:r>
    </w:p>
    <w:p w14:paraId="064E6454" w14:textId="165FAD07" w:rsidR="004343F3" w:rsidRPr="004343F3" w:rsidRDefault="004343F3" w:rsidP="004343F3">
      <w:pPr>
        <w:pStyle w:val="PargrafodaLista"/>
        <w:widowControl w:val="0"/>
        <w:tabs>
          <w:tab w:val="left" w:pos="1042"/>
        </w:tabs>
        <w:autoSpaceDE w:val="0"/>
        <w:autoSpaceDN w:val="0"/>
        <w:spacing w:before="101" w:line="266" w:lineRule="auto"/>
        <w:ind w:left="332" w:right="250"/>
        <w:contextualSpacing w:val="0"/>
        <w:jc w:val="both"/>
        <w:rPr>
          <w:rFonts w:ascii="Tahoma" w:eastAsia="Calibri" w:hAnsi="Tahoma" w:cs="Tahoma"/>
          <w:sz w:val="22"/>
          <w:szCs w:val="22"/>
          <w:lang w:val="pt-BR" w:eastAsia="en-US"/>
        </w:rPr>
      </w:pP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ab/>
      </w: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>Portanto, não cabe ao advogado aproveitar-se do benefício da gratuidade de justiça, que é personalíssimo, e foi deferido em favor de seu constituinte, é o que dispõe o art. 99, §5º, CPC:</w:t>
      </w:r>
    </w:p>
    <w:p w14:paraId="086BA39D" w14:textId="77777777" w:rsidR="004343F3" w:rsidRPr="004343F3" w:rsidRDefault="004343F3" w:rsidP="004343F3">
      <w:pPr>
        <w:pStyle w:val="PargrafodaLista"/>
        <w:tabs>
          <w:tab w:val="left" w:pos="1042"/>
        </w:tabs>
        <w:spacing w:before="101" w:line="266" w:lineRule="auto"/>
        <w:ind w:right="250"/>
        <w:rPr>
          <w:rFonts w:ascii="Tahoma" w:eastAsia="Calibri" w:hAnsi="Tahoma" w:cs="Tahoma"/>
          <w:sz w:val="22"/>
          <w:szCs w:val="22"/>
          <w:lang w:val="pt-BR" w:eastAsia="en-US"/>
        </w:rPr>
      </w:pPr>
    </w:p>
    <w:p w14:paraId="2470813F" w14:textId="77777777" w:rsidR="004343F3" w:rsidRPr="004343F3" w:rsidRDefault="004343F3" w:rsidP="004343F3">
      <w:pPr>
        <w:pStyle w:val="PargrafodaLista"/>
        <w:tabs>
          <w:tab w:val="left" w:pos="1042"/>
        </w:tabs>
        <w:spacing w:before="101" w:line="266" w:lineRule="auto"/>
        <w:ind w:left="2268" w:right="250"/>
        <w:rPr>
          <w:rFonts w:ascii="Tahoma" w:eastAsia="Calibri" w:hAnsi="Tahoma" w:cs="Tahoma"/>
          <w:sz w:val="22"/>
          <w:szCs w:val="22"/>
          <w:lang w:val="pt-BR" w:eastAsia="en-US"/>
        </w:rPr>
      </w:pP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>Art. 99. O pedido de gratuidade da justiça pode ser formulado na petição inicial, na contestação, na petição para ingresso de terceiro no processo ou em recurso.</w:t>
      </w:r>
    </w:p>
    <w:p w14:paraId="0B1B251B" w14:textId="77777777" w:rsidR="004343F3" w:rsidRPr="004343F3" w:rsidRDefault="004343F3" w:rsidP="004343F3">
      <w:pPr>
        <w:pStyle w:val="PargrafodaLista"/>
        <w:tabs>
          <w:tab w:val="left" w:pos="1042"/>
        </w:tabs>
        <w:spacing w:before="101" w:line="266" w:lineRule="auto"/>
        <w:ind w:left="2268" w:right="250"/>
        <w:rPr>
          <w:rFonts w:ascii="Tahoma" w:eastAsia="Calibri" w:hAnsi="Tahoma" w:cs="Tahoma"/>
          <w:sz w:val="22"/>
          <w:szCs w:val="22"/>
          <w:lang w:val="pt-BR" w:eastAsia="en-US"/>
        </w:rPr>
      </w:pP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>(...)</w:t>
      </w:r>
    </w:p>
    <w:p w14:paraId="2B6B40C5" w14:textId="77777777" w:rsidR="004343F3" w:rsidRPr="004343F3" w:rsidRDefault="004343F3" w:rsidP="004343F3">
      <w:pPr>
        <w:pStyle w:val="PargrafodaLista"/>
        <w:tabs>
          <w:tab w:val="left" w:pos="1042"/>
        </w:tabs>
        <w:spacing w:before="101" w:line="266" w:lineRule="auto"/>
        <w:ind w:left="2268" w:right="250"/>
        <w:rPr>
          <w:rFonts w:ascii="Tahoma" w:eastAsia="Calibri" w:hAnsi="Tahoma" w:cs="Tahoma"/>
          <w:sz w:val="22"/>
          <w:szCs w:val="22"/>
          <w:lang w:val="pt-BR" w:eastAsia="en-US"/>
        </w:rPr>
      </w:pP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>§ 4º A assistência do requerente por advogado particular não impede a concessão de gratuidade da justiça.</w:t>
      </w:r>
    </w:p>
    <w:p w14:paraId="4CA095BD" w14:textId="77777777" w:rsidR="004343F3" w:rsidRPr="004343F3" w:rsidRDefault="004343F3" w:rsidP="004343F3">
      <w:pPr>
        <w:pStyle w:val="PargrafodaLista"/>
        <w:tabs>
          <w:tab w:val="left" w:pos="1042"/>
        </w:tabs>
        <w:spacing w:before="101" w:line="266" w:lineRule="auto"/>
        <w:ind w:left="2268" w:right="250"/>
        <w:rPr>
          <w:rFonts w:ascii="Tahoma" w:eastAsia="Calibri" w:hAnsi="Tahoma" w:cs="Tahoma"/>
          <w:sz w:val="22"/>
          <w:szCs w:val="22"/>
          <w:lang w:val="pt-BR" w:eastAsia="en-US"/>
        </w:rPr>
      </w:pPr>
    </w:p>
    <w:p w14:paraId="479D5B23" w14:textId="77777777" w:rsidR="004343F3" w:rsidRPr="004343F3" w:rsidRDefault="004343F3" w:rsidP="004343F3">
      <w:pPr>
        <w:pStyle w:val="PargrafodaLista"/>
        <w:tabs>
          <w:tab w:val="left" w:pos="1042"/>
        </w:tabs>
        <w:spacing w:before="101" w:line="266" w:lineRule="auto"/>
        <w:ind w:left="2268" w:right="250"/>
        <w:rPr>
          <w:rFonts w:ascii="Tahoma" w:eastAsia="Calibri" w:hAnsi="Tahoma" w:cs="Tahoma"/>
          <w:sz w:val="22"/>
          <w:szCs w:val="22"/>
          <w:lang w:val="pt-BR" w:eastAsia="en-US"/>
        </w:rPr>
      </w:pPr>
      <w:r w:rsidRPr="004343F3">
        <w:rPr>
          <w:rFonts w:ascii="Tahoma" w:eastAsia="Calibri" w:hAnsi="Tahoma" w:cs="Tahoma"/>
          <w:sz w:val="22"/>
          <w:szCs w:val="22"/>
          <w:lang w:val="pt-BR" w:eastAsia="en-US"/>
        </w:rPr>
        <w:t>§ 5º Na hipótese do § 4º, o recurso que verse exclusivamente sobre valor de honorários de sucumbência fixados em favor do advogado de beneficiário estará sujeito a preparo, salvo se o próprio advogado demonstrar que tem direito à gratuidade.</w:t>
      </w:r>
    </w:p>
    <w:p w14:paraId="7ABE21A2" w14:textId="77777777" w:rsidR="004343F3" w:rsidRPr="004343F3" w:rsidRDefault="004343F3" w:rsidP="004343F3">
      <w:pPr>
        <w:pStyle w:val="PargrafodaLista"/>
        <w:tabs>
          <w:tab w:val="left" w:pos="1042"/>
        </w:tabs>
        <w:spacing w:before="101" w:line="266" w:lineRule="auto"/>
        <w:ind w:right="250"/>
        <w:rPr>
          <w:rFonts w:ascii="Tahoma" w:eastAsia="Calibri" w:hAnsi="Tahoma" w:cs="Tahoma"/>
          <w:sz w:val="22"/>
          <w:szCs w:val="22"/>
          <w:lang w:val="pt-BR" w:eastAsia="en-US"/>
        </w:rPr>
      </w:pPr>
    </w:p>
    <w:p w14:paraId="13E6E89E" w14:textId="0683F57A" w:rsidR="004343F3" w:rsidRPr="004343F3" w:rsidRDefault="004343F3" w:rsidP="004343F3">
      <w:pPr>
        <w:tabs>
          <w:tab w:val="left" w:pos="0"/>
        </w:tabs>
        <w:spacing w:line="320" w:lineRule="exact"/>
        <w:ind w:left="360"/>
        <w:rPr>
          <w:rFonts w:ascii="Tahoma" w:hAnsi="Tahoma" w:cs="Tahoma"/>
        </w:rPr>
      </w:pPr>
      <w:r w:rsidRPr="004343F3">
        <w:rPr>
          <w:rFonts w:ascii="Tahoma" w:hAnsi="Tahoma" w:cs="Tahoma"/>
        </w:rPr>
        <w:t xml:space="preserve">No caso em apreço, o causídico não comprovou sua condição de beneficiário de gratuidade de justiça, tampouco recolheu as custas devidas pela interposição do recurso </w:t>
      </w:r>
      <w:r>
        <w:rPr>
          <w:rFonts w:ascii="Tahoma" w:hAnsi="Tahoma" w:cs="Tahoma"/>
        </w:rPr>
        <w:t>de apelação que deu ensejo aos embargos de declaração</w:t>
      </w:r>
      <w:r w:rsidRPr="004343F3">
        <w:rPr>
          <w:rFonts w:ascii="Tahoma" w:hAnsi="Tahoma" w:cs="Tahoma"/>
        </w:rPr>
        <w:t>, pelo que o mesmo deve ser julgado deserto, deixando de ser conhecido</w:t>
      </w:r>
    </w:p>
    <w:p w14:paraId="5BC14D83" w14:textId="77777777" w:rsidR="004343F3" w:rsidRDefault="004343F3" w:rsidP="004343F3">
      <w:pPr>
        <w:tabs>
          <w:tab w:val="left" w:pos="0"/>
        </w:tabs>
        <w:spacing w:line="320" w:lineRule="exact"/>
        <w:ind w:left="360"/>
        <w:rPr>
          <w:rFonts w:ascii="Tahoma" w:hAnsi="Tahoma" w:cs="Tahoma"/>
          <w:b/>
          <w:bCs/>
          <w:smallCaps/>
          <w:sz w:val="24"/>
          <w:szCs w:val="24"/>
          <w:u w:val="single"/>
        </w:rPr>
      </w:pPr>
    </w:p>
    <w:p w14:paraId="115E7259" w14:textId="77777777" w:rsidR="004343F3" w:rsidRPr="00E41F2B" w:rsidRDefault="004343F3" w:rsidP="00FC007B">
      <w:pPr>
        <w:tabs>
          <w:tab w:val="left" w:pos="0"/>
        </w:tabs>
        <w:spacing w:line="320" w:lineRule="exact"/>
        <w:ind w:left="360"/>
        <w:jc w:val="center"/>
        <w:rPr>
          <w:rFonts w:ascii="Tahoma" w:hAnsi="Tahoma" w:cs="Tahoma"/>
          <w:b/>
          <w:bCs/>
          <w:smallCaps/>
          <w:sz w:val="24"/>
          <w:szCs w:val="24"/>
          <w:u w:val="single"/>
        </w:rPr>
      </w:pPr>
    </w:p>
    <w:p w14:paraId="3E288B1B" w14:textId="77777777" w:rsidR="004343F3" w:rsidRDefault="004343F3" w:rsidP="004343F3">
      <w:pPr>
        <w:pStyle w:val="PargrafodaLista"/>
        <w:tabs>
          <w:tab w:val="left" w:pos="0"/>
        </w:tabs>
        <w:suppressAutoHyphens/>
        <w:spacing w:line="320" w:lineRule="exact"/>
        <w:contextualSpacing w:val="0"/>
        <w:jc w:val="center"/>
        <w:rPr>
          <w:rFonts w:ascii="Tahoma" w:hAnsi="Tahoma" w:cs="Tahoma"/>
          <w:b/>
          <w:smallCaps/>
          <w:u w:val="single"/>
          <w:lang w:val="pt-BR"/>
        </w:rPr>
      </w:pPr>
    </w:p>
    <w:p w14:paraId="6408A27C" w14:textId="77777777" w:rsidR="004343F3" w:rsidRDefault="004343F3" w:rsidP="004343F3">
      <w:pPr>
        <w:pStyle w:val="PargrafodaLista"/>
        <w:tabs>
          <w:tab w:val="left" w:pos="0"/>
        </w:tabs>
        <w:suppressAutoHyphens/>
        <w:spacing w:line="320" w:lineRule="exact"/>
        <w:contextualSpacing w:val="0"/>
        <w:jc w:val="center"/>
        <w:rPr>
          <w:rFonts w:ascii="Tahoma" w:hAnsi="Tahoma" w:cs="Tahoma"/>
          <w:b/>
          <w:smallCaps/>
          <w:u w:val="single"/>
          <w:lang w:val="pt-BR"/>
        </w:rPr>
      </w:pPr>
    </w:p>
    <w:p w14:paraId="127DECB2" w14:textId="346D66AC" w:rsidR="001D2A89" w:rsidRPr="00E41F2B" w:rsidRDefault="001D2A89" w:rsidP="004343F3">
      <w:pPr>
        <w:pStyle w:val="PargrafodaLista"/>
        <w:tabs>
          <w:tab w:val="left" w:pos="0"/>
        </w:tabs>
        <w:suppressAutoHyphens/>
        <w:spacing w:line="320" w:lineRule="exact"/>
        <w:contextualSpacing w:val="0"/>
        <w:jc w:val="center"/>
        <w:rPr>
          <w:rFonts w:ascii="Tahoma" w:hAnsi="Tahoma" w:cs="Tahoma"/>
          <w:b/>
          <w:bCs/>
          <w:smallCaps/>
          <w:u w:val="single"/>
          <w:lang w:val="pt-BR"/>
        </w:rPr>
      </w:pPr>
      <w:r w:rsidRPr="00E41F2B">
        <w:rPr>
          <w:rFonts w:ascii="Tahoma" w:hAnsi="Tahoma" w:cs="Tahoma"/>
          <w:b/>
          <w:smallCaps/>
          <w:u w:val="single"/>
          <w:lang w:val="pt-BR"/>
        </w:rPr>
        <w:t>Conclusão</w:t>
      </w:r>
    </w:p>
    <w:p w14:paraId="03EE1297" w14:textId="77777777" w:rsidR="001D2A89" w:rsidRPr="00E41F2B" w:rsidRDefault="001D2A89" w:rsidP="001D2A89">
      <w:pPr>
        <w:pStyle w:val="PargrafodaLista"/>
        <w:spacing w:line="320" w:lineRule="exact"/>
        <w:ind w:left="0" w:firstLine="709"/>
        <w:jc w:val="both"/>
        <w:rPr>
          <w:rFonts w:ascii="Tahoma" w:hAnsi="Tahoma" w:cs="Tahoma"/>
          <w:lang w:val="pt-BR"/>
        </w:rPr>
      </w:pPr>
    </w:p>
    <w:p w14:paraId="5F4BE33D" w14:textId="761BFA05" w:rsidR="001D2A89" w:rsidRPr="00E41F2B" w:rsidRDefault="00E41F2B" w:rsidP="00E41F2B">
      <w:pPr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1D2A89" w:rsidRPr="00E41F2B">
        <w:rPr>
          <w:rFonts w:ascii="Tahoma" w:hAnsi="Tahoma" w:cs="Tahoma"/>
        </w:rPr>
        <w:t xml:space="preserve">Por todo o exposto, confia e espera a parte </w:t>
      </w:r>
      <w:r w:rsidR="00FC007B">
        <w:rPr>
          <w:rFonts w:ascii="Tahoma" w:hAnsi="Tahoma" w:cs="Tahoma"/>
        </w:rPr>
        <w:t>embargada</w:t>
      </w:r>
      <w:r w:rsidR="001D2A89" w:rsidRPr="00E41F2B">
        <w:rPr>
          <w:rFonts w:ascii="Tahoma" w:hAnsi="Tahoma" w:cs="Tahoma"/>
        </w:rPr>
        <w:t>, fiada no senso de justiça e critério de razoabilidade que sempre nortearam as decisões dessa C. Câmara, que o recurso não seja conhecido, viabilizando o cumprimento do contrato firmado entre as partes, com a marcação de novo leilão para alienação do imóvel (caso não exercido o direito de preferência ofertado) e, finalmente, satisfação do débito.</w:t>
      </w:r>
    </w:p>
    <w:p w14:paraId="206BF6FF" w14:textId="77777777" w:rsidR="003E11A0" w:rsidRPr="00E41F2B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2F57FE7A" w14:textId="77777777" w:rsidR="007A3913" w:rsidRPr="0028643A" w:rsidRDefault="007A3913" w:rsidP="007A3913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Tahoma" w:eastAsia="Calibri" w:hAnsi="Tahoma" w:cs="Tahoma"/>
          <w:sz w:val="22"/>
          <w:szCs w:val="22"/>
          <w:lang w:val="pt-BR" w:eastAsia="en-US"/>
        </w:rPr>
      </w:pPr>
      <w:bookmarkStart w:id="0" w:name="_Hlk129718454"/>
      <w:r w:rsidRPr="0028643A">
        <w:rPr>
          <w:rFonts w:ascii="Tahoma" w:eastAsia="Calibri" w:hAnsi="Tahoma" w:cs="Tahoma"/>
          <w:sz w:val="22"/>
          <w:szCs w:val="22"/>
          <w:lang w:val="pt-BR" w:eastAsia="en-US"/>
        </w:rPr>
        <w:tab/>
        <w:t>Pugna a parte recorrida pela condenação da parte recorrente em custas e honorários do advogado.</w:t>
      </w:r>
    </w:p>
    <w:bookmarkEnd w:id="0"/>
    <w:p w14:paraId="6C0B6C99" w14:textId="77777777" w:rsidR="00862622" w:rsidRPr="0028643A" w:rsidRDefault="00862622" w:rsidP="00862622">
      <w:pPr>
        <w:pStyle w:val="Corpodetexto"/>
        <w:ind w:firstLine="1417"/>
        <w:rPr>
          <w:rFonts w:ascii="Tahoma" w:eastAsia="Calibri" w:hAnsi="Tahoma" w:cs="Tahoma"/>
          <w:sz w:val="22"/>
          <w:szCs w:val="22"/>
          <w:lang w:eastAsia="en-US" w:bidi="ar-SA"/>
        </w:rPr>
      </w:pPr>
      <w:r w:rsidRPr="0028643A">
        <w:rPr>
          <w:rFonts w:ascii="Tahoma" w:eastAsia="Calibri" w:hAnsi="Tahoma" w:cs="Tahoma"/>
          <w:sz w:val="22"/>
          <w:szCs w:val="22"/>
          <w:lang w:eastAsia="en-US" w:bidi="ar-SA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</w:t>
      </w:r>
      <w:proofErr w:type="gramStart"/>
      <w:r w:rsidRPr="0028643A">
        <w:rPr>
          <w:rFonts w:ascii="Tahoma" w:eastAsia="Calibri" w:hAnsi="Tahoma" w:cs="Tahoma"/>
          <w:sz w:val="22"/>
          <w:szCs w:val="22"/>
          <w:lang w:eastAsia="en-US" w:bidi="ar-SA"/>
        </w:rPr>
        <w:t>das mesmas</w:t>
      </w:r>
      <w:proofErr w:type="gramEnd"/>
      <w:r w:rsidRPr="0028643A">
        <w:rPr>
          <w:rFonts w:ascii="Tahoma" w:eastAsia="Calibri" w:hAnsi="Tahoma" w:cs="Tahoma"/>
          <w:sz w:val="22"/>
          <w:szCs w:val="22"/>
          <w:lang w:eastAsia="en-US" w:bidi="ar-SA"/>
        </w:rPr>
        <w:t>.</w:t>
      </w:r>
    </w:p>
    <w:p w14:paraId="68D05851" w14:textId="77777777" w:rsidR="004343F3" w:rsidRDefault="00862622" w:rsidP="00EC3120">
      <w:pPr>
        <w:pStyle w:val="Corpodetexto"/>
        <w:ind w:left="1416" w:firstLine="1"/>
        <w:jc w:val="center"/>
        <w:rPr>
          <w:rFonts w:ascii="Tahoma" w:eastAsia="Calibri" w:hAnsi="Tahoma" w:cs="Tahoma"/>
          <w:sz w:val="22"/>
          <w:szCs w:val="22"/>
          <w:lang w:eastAsia="en-US" w:bidi="ar-SA"/>
        </w:rPr>
      </w:pPr>
      <w:r w:rsidRPr="0028643A">
        <w:rPr>
          <w:rFonts w:ascii="Tahoma" w:eastAsia="Calibri" w:hAnsi="Tahoma" w:cs="Tahoma"/>
          <w:sz w:val="22"/>
          <w:szCs w:val="22"/>
          <w:lang w:eastAsia="en-US" w:bidi="ar-SA"/>
        </w:rPr>
        <w:t>Nestes Termos,</w:t>
      </w:r>
      <w:r w:rsidRPr="0028643A">
        <w:rPr>
          <w:rFonts w:ascii="Tahoma" w:eastAsia="Calibri" w:hAnsi="Tahoma" w:cs="Tahoma"/>
          <w:sz w:val="22"/>
          <w:szCs w:val="22"/>
          <w:lang w:eastAsia="en-US" w:bidi="ar-SA"/>
        </w:rPr>
        <w:br/>
        <w:t>Pede Deferimento,</w:t>
      </w:r>
    </w:p>
    <w:p w14:paraId="75E14D7A" w14:textId="4642A4E9" w:rsidR="00862622" w:rsidRPr="0028643A" w:rsidRDefault="00EC3120" w:rsidP="00EC3120">
      <w:pPr>
        <w:pStyle w:val="Corpodetexto"/>
        <w:ind w:left="1416" w:firstLine="1"/>
        <w:jc w:val="center"/>
        <w:rPr>
          <w:rFonts w:ascii="Tahoma" w:eastAsia="Calibri" w:hAnsi="Tahoma" w:cs="Tahoma"/>
          <w:sz w:val="22"/>
          <w:szCs w:val="22"/>
          <w:lang w:eastAsia="en-US" w:bidi="ar-SA"/>
        </w:rPr>
      </w:pPr>
      <w:r w:rsidRPr="0028643A">
        <w:rPr>
          <w:rFonts w:ascii="Tahoma" w:eastAsia="Calibri" w:hAnsi="Tahoma" w:cs="Tahoma"/>
          <w:sz w:val="22"/>
          <w:szCs w:val="22"/>
          <w:lang w:eastAsia="en-US" w:bidi="ar-SA"/>
        </w:rPr>
        <w:br/>
      </w:r>
      <w:r w:rsidR="007C32EF" w:rsidRPr="0028643A">
        <w:rPr>
          <w:rFonts w:ascii="Tahoma" w:eastAsia="Calibri" w:hAnsi="Tahoma" w:cs="Tahoma"/>
          <w:sz w:val="22"/>
          <w:szCs w:val="22"/>
          <w:lang w:eastAsia="en-US" w:bidi="ar-SA"/>
        </w:rPr>
        <w:t>PORTO ALEGRE</w:t>
      </w:r>
      <w:r w:rsidR="00862622" w:rsidRPr="0028643A">
        <w:rPr>
          <w:rFonts w:ascii="Tahoma" w:eastAsia="Calibri" w:hAnsi="Tahoma" w:cs="Tahoma"/>
          <w:sz w:val="22"/>
          <w:szCs w:val="22"/>
          <w:lang w:eastAsia="en-US" w:bidi="ar-SA"/>
        </w:rPr>
        <w:t xml:space="preserve">, </w:t>
      </w:r>
      <w:r w:rsidR="004343F3">
        <w:rPr>
          <w:rFonts w:ascii="Tahoma" w:eastAsia="Calibri" w:hAnsi="Tahoma" w:cs="Tahoma"/>
          <w:sz w:val="22"/>
          <w:szCs w:val="22"/>
          <w:lang w:eastAsia="en-US" w:bidi="ar-SA"/>
        </w:rPr>
        <w:t>23</w:t>
      </w:r>
      <w:r w:rsidR="00862622" w:rsidRPr="0028643A">
        <w:rPr>
          <w:rFonts w:ascii="Tahoma" w:eastAsia="Calibri" w:hAnsi="Tahoma" w:cs="Tahoma"/>
          <w:sz w:val="22"/>
          <w:szCs w:val="22"/>
          <w:lang w:eastAsia="en-US" w:bidi="ar-SA"/>
        </w:rPr>
        <w:t xml:space="preserve"> de </w:t>
      </w:r>
      <w:proofErr w:type="gramStart"/>
      <w:r w:rsidR="004343F3">
        <w:rPr>
          <w:rFonts w:ascii="Tahoma" w:eastAsia="Calibri" w:hAnsi="Tahoma" w:cs="Tahoma"/>
          <w:sz w:val="22"/>
          <w:szCs w:val="22"/>
          <w:lang w:eastAsia="en-US" w:bidi="ar-SA"/>
        </w:rPr>
        <w:t>Outu</w:t>
      </w:r>
      <w:r w:rsidR="0028643A" w:rsidRPr="0028643A">
        <w:rPr>
          <w:rFonts w:ascii="Tahoma" w:eastAsia="Calibri" w:hAnsi="Tahoma" w:cs="Tahoma"/>
          <w:sz w:val="22"/>
          <w:szCs w:val="22"/>
          <w:lang w:eastAsia="en-US" w:bidi="ar-SA"/>
        </w:rPr>
        <w:t>bro</w:t>
      </w:r>
      <w:proofErr w:type="gramEnd"/>
      <w:r w:rsidR="00862622" w:rsidRPr="0028643A">
        <w:rPr>
          <w:rFonts w:ascii="Tahoma" w:eastAsia="Calibri" w:hAnsi="Tahoma" w:cs="Tahoma"/>
          <w:sz w:val="22"/>
          <w:szCs w:val="22"/>
          <w:lang w:eastAsia="en-US" w:bidi="ar-SA"/>
        </w:rPr>
        <w:t xml:space="preserve"> de 2023.</w:t>
      </w:r>
    </w:p>
    <w:p w14:paraId="7A17B87E" w14:textId="45A53710" w:rsidR="004C7639" w:rsidRPr="0028643A" w:rsidRDefault="00862622" w:rsidP="0028643A">
      <w:pPr>
        <w:pStyle w:val="Corpodetexto"/>
        <w:ind w:left="1417"/>
        <w:jc w:val="center"/>
        <w:rPr>
          <w:rFonts w:ascii="Calibri" w:eastAsiaTheme="minorEastAsia" w:hAnsi="Calibri" w:cs="Calibri"/>
          <w:b/>
          <w:bCs/>
          <w:lang w:eastAsia="ja-JP" w:bidi="ar-SA"/>
        </w:rPr>
      </w:pPr>
      <w:r w:rsidRPr="00E41F2B">
        <w:rPr>
          <w:rFonts w:ascii="Calibri" w:eastAsiaTheme="minorEastAsia" w:hAnsi="Calibri" w:cs="Calibri"/>
          <w:b/>
          <w:bCs/>
          <w:lang w:eastAsia="ja-JP" w:bidi="ar-SA"/>
        </w:rPr>
        <w:t>JOÃO BARBOSA</w:t>
      </w:r>
      <w:r w:rsidRPr="00E41F2B">
        <w:rPr>
          <w:rFonts w:ascii="Calibri" w:eastAsiaTheme="minorEastAsia" w:hAnsi="Calibri" w:cs="Calibri"/>
          <w:b/>
          <w:bCs/>
          <w:lang w:eastAsia="ja-JP" w:bidi="ar-SA"/>
        </w:rPr>
        <w:br/>
        <w:t>OAB/RS 90657-A</w:t>
      </w:r>
    </w:p>
    <w:p w14:paraId="60DCF190" w14:textId="0C354106" w:rsidR="00FA2C18" w:rsidRPr="003911A8" w:rsidRDefault="005941C5" w:rsidP="00E962C2">
      <w:pPr>
        <w:spacing w:before="200" w:after="200" w:line="240" w:lineRule="auto"/>
        <w:jc w:val="both"/>
        <w:rPr>
          <w:rFonts w:cs="Calibri"/>
          <w:sz w:val="24"/>
          <w:szCs w:val="24"/>
        </w:rPr>
      </w:pPr>
      <w:r w:rsidRPr="003911A8">
        <w:rPr>
          <w:rFonts w:cs="Calibri"/>
          <w:sz w:val="24"/>
          <w:szCs w:val="24"/>
        </w:rPr>
        <w:t> </w:t>
      </w:r>
    </w:p>
    <w:sectPr w:rsidR="00FA2C18" w:rsidRPr="003911A8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BCB11" w14:textId="77777777" w:rsidR="00D34FEF" w:rsidRDefault="00D34FEF">
      <w:pPr>
        <w:spacing w:after="0" w:line="240" w:lineRule="auto"/>
      </w:pPr>
      <w:r>
        <w:separator/>
      </w:r>
    </w:p>
  </w:endnote>
  <w:endnote w:type="continuationSeparator" w:id="0">
    <w:p w14:paraId="363179AB" w14:textId="77777777" w:rsidR="00D34FEF" w:rsidRDefault="00D34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9DE57" w14:textId="77777777" w:rsidR="00D34FEF" w:rsidRDefault="00D34FEF">
      <w:pPr>
        <w:spacing w:after="0" w:line="240" w:lineRule="auto"/>
      </w:pPr>
      <w:r>
        <w:separator/>
      </w:r>
    </w:p>
  </w:footnote>
  <w:footnote w:type="continuationSeparator" w:id="0">
    <w:p w14:paraId="1A25B787" w14:textId="77777777" w:rsidR="00D34FEF" w:rsidRDefault="00D34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A32"/>
    <w:multiLevelType w:val="hybridMultilevel"/>
    <w:tmpl w:val="FD266818"/>
    <w:lvl w:ilvl="0" w:tplc="F52637E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07275F6"/>
    <w:multiLevelType w:val="hybridMultilevel"/>
    <w:tmpl w:val="67AC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B2BFD"/>
    <w:multiLevelType w:val="hybridMultilevel"/>
    <w:tmpl w:val="3C36509E"/>
    <w:lvl w:ilvl="0" w:tplc="326CAC5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" w15:restartNumberingAfterBreak="0">
    <w:nsid w:val="5D0E1A9B"/>
    <w:multiLevelType w:val="hybridMultilevel"/>
    <w:tmpl w:val="E3468E6A"/>
    <w:lvl w:ilvl="0" w:tplc="FEAA52D8">
      <w:start w:val="1"/>
      <w:numFmt w:val="decimal"/>
      <w:lvlText w:val="%1."/>
      <w:lvlJc w:val="left"/>
      <w:pPr>
        <w:ind w:left="332" w:hanging="721"/>
      </w:pPr>
      <w:rPr>
        <w:rFonts w:hint="default"/>
        <w:w w:val="100"/>
        <w:lang w:val="pt-PT" w:eastAsia="en-US" w:bidi="ar-SA"/>
      </w:rPr>
    </w:lvl>
    <w:lvl w:ilvl="1" w:tplc="AB0EDF08">
      <w:start w:val="1"/>
      <w:numFmt w:val="upperRoman"/>
      <w:lvlText w:val="%2"/>
      <w:lvlJc w:val="left"/>
      <w:pPr>
        <w:ind w:left="2601" w:hanging="159"/>
      </w:pPr>
      <w:rPr>
        <w:rFonts w:ascii="Tahoma" w:eastAsia="Tahoma" w:hAnsi="Tahoma" w:cs="Tahoma" w:hint="default"/>
        <w:w w:val="100"/>
        <w:sz w:val="22"/>
        <w:szCs w:val="22"/>
        <w:lang w:val="pt-PT" w:eastAsia="en-US" w:bidi="ar-SA"/>
      </w:rPr>
    </w:lvl>
    <w:lvl w:ilvl="2" w:tplc="BEDEFB4C">
      <w:numFmt w:val="bullet"/>
      <w:lvlText w:val="•"/>
      <w:lvlJc w:val="left"/>
      <w:pPr>
        <w:ind w:left="3446" w:hanging="159"/>
      </w:pPr>
      <w:rPr>
        <w:rFonts w:hint="default"/>
        <w:lang w:val="pt-PT" w:eastAsia="en-US" w:bidi="ar-SA"/>
      </w:rPr>
    </w:lvl>
    <w:lvl w:ilvl="3" w:tplc="24C60F4C">
      <w:numFmt w:val="bullet"/>
      <w:lvlText w:val="•"/>
      <w:lvlJc w:val="left"/>
      <w:pPr>
        <w:ind w:left="4293" w:hanging="159"/>
      </w:pPr>
      <w:rPr>
        <w:rFonts w:hint="default"/>
        <w:lang w:val="pt-PT" w:eastAsia="en-US" w:bidi="ar-SA"/>
      </w:rPr>
    </w:lvl>
    <w:lvl w:ilvl="4" w:tplc="230272C8">
      <w:numFmt w:val="bullet"/>
      <w:lvlText w:val="•"/>
      <w:lvlJc w:val="left"/>
      <w:pPr>
        <w:ind w:left="5139" w:hanging="159"/>
      </w:pPr>
      <w:rPr>
        <w:rFonts w:hint="default"/>
        <w:lang w:val="pt-PT" w:eastAsia="en-US" w:bidi="ar-SA"/>
      </w:rPr>
    </w:lvl>
    <w:lvl w:ilvl="5" w:tplc="BC8027BC">
      <w:numFmt w:val="bullet"/>
      <w:lvlText w:val="•"/>
      <w:lvlJc w:val="left"/>
      <w:pPr>
        <w:ind w:left="5986" w:hanging="159"/>
      </w:pPr>
      <w:rPr>
        <w:rFonts w:hint="default"/>
        <w:lang w:val="pt-PT" w:eastAsia="en-US" w:bidi="ar-SA"/>
      </w:rPr>
    </w:lvl>
    <w:lvl w:ilvl="6" w:tplc="AA7E3A36">
      <w:numFmt w:val="bullet"/>
      <w:lvlText w:val="•"/>
      <w:lvlJc w:val="left"/>
      <w:pPr>
        <w:ind w:left="6832" w:hanging="159"/>
      </w:pPr>
      <w:rPr>
        <w:rFonts w:hint="default"/>
        <w:lang w:val="pt-PT" w:eastAsia="en-US" w:bidi="ar-SA"/>
      </w:rPr>
    </w:lvl>
    <w:lvl w:ilvl="7" w:tplc="83527BAA">
      <w:numFmt w:val="bullet"/>
      <w:lvlText w:val="•"/>
      <w:lvlJc w:val="left"/>
      <w:pPr>
        <w:ind w:left="7679" w:hanging="159"/>
      </w:pPr>
      <w:rPr>
        <w:rFonts w:hint="default"/>
        <w:lang w:val="pt-PT" w:eastAsia="en-US" w:bidi="ar-SA"/>
      </w:rPr>
    </w:lvl>
    <w:lvl w:ilvl="8" w:tplc="C734A45C">
      <w:numFmt w:val="bullet"/>
      <w:lvlText w:val="•"/>
      <w:lvlJc w:val="left"/>
      <w:pPr>
        <w:ind w:left="8526" w:hanging="159"/>
      </w:pPr>
      <w:rPr>
        <w:rFonts w:hint="default"/>
        <w:lang w:val="pt-PT" w:eastAsia="en-US" w:bidi="ar-SA"/>
      </w:rPr>
    </w:lvl>
  </w:abstractNum>
  <w:abstractNum w:abstractNumId="7" w15:restartNumberingAfterBreak="0">
    <w:nsid w:val="74896CC1"/>
    <w:multiLevelType w:val="hybridMultilevel"/>
    <w:tmpl w:val="D72E8E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95237">
    <w:abstractNumId w:val="3"/>
  </w:num>
  <w:num w:numId="2" w16cid:durableId="1010985544">
    <w:abstractNumId w:val="2"/>
  </w:num>
  <w:num w:numId="3" w16cid:durableId="10215132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788521">
    <w:abstractNumId w:val="0"/>
  </w:num>
  <w:num w:numId="5" w16cid:durableId="123239763">
    <w:abstractNumId w:val="1"/>
  </w:num>
  <w:num w:numId="6" w16cid:durableId="1819496236">
    <w:abstractNumId w:val="4"/>
  </w:num>
  <w:num w:numId="7" w16cid:durableId="260915281">
    <w:abstractNumId w:val="7"/>
  </w:num>
  <w:num w:numId="8" w16cid:durableId="4187963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670EC"/>
    <w:rsid w:val="00090C70"/>
    <w:rsid w:val="000C60A8"/>
    <w:rsid w:val="00181DE2"/>
    <w:rsid w:val="001D2A89"/>
    <w:rsid w:val="00255B3C"/>
    <w:rsid w:val="0028643A"/>
    <w:rsid w:val="002D5FB7"/>
    <w:rsid w:val="003007BF"/>
    <w:rsid w:val="00320DCE"/>
    <w:rsid w:val="00326B23"/>
    <w:rsid w:val="003349B7"/>
    <w:rsid w:val="0037684E"/>
    <w:rsid w:val="00387F34"/>
    <w:rsid w:val="003911A8"/>
    <w:rsid w:val="00396D72"/>
    <w:rsid w:val="003A6BC8"/>
    <w:rsid w:val="003E11A0"/>
    <w:rsid w:val="003F5DCE"/>
    <w:rsid w:val="00404C94"/>
    <w:rsid w:val="004343F3"/>
    <w:rsid w:val="00486EBB"/>
    <w:rsid w:val="004C1027"/>
    <w:rsid w:val="004C7639"/>
    <w:rsid w:val="0052134B"/>
    <w:rsid w:val="00530F86"/>
    <w:rsid w:val="005663F9"/>
    <w:rsid w:val="005869BC"/>
    <w:rsid w:val="005941C5"/>
    <w:rsid w:val="005A5474"/>
    <w:rsid w:val="005D4224"/>
    <w:rsid w:val="005E226B"/>
    <w:rsid w:val="00654BB2"/>
    <w:rsid w:val="00673F32"/>
    <w:rsid w:val="006B5371"/>
    <w:rsid w:val="006F66E3"/>
    <w:rsid w:val="006F7A6B"/>
    <w:rsid w:val="00701612"/>
    <w:rsid w:val="0076787A"/>
    <w:rsid w:val="007A3913"/>
    <w:rsid w:val="007C32EF"/>
    <w:rsid w:val="007E1F86"/>
    <w:rsid w:val="00862622"/>
    <w:rsid w:val="00873596"/>
    <w:rsid w:val="00874FFE"/>
    <w:rsid w:val="008765E4"/>
    <w:rsid w:val="008B00C4"/>
    <w:rsid w:val="008B1D23"/>
    <w:rsid w:val="008E1AB2"/>
    <w:rsid w:val="008F4CF5"/>
    <w:rsid w:val="00956E0D"/>
    <w:rsid w:val="00965291"/>
    <w:rsid w:val="009D3C6C"/>
    <w:rsid w:val="009E3B76"/>
    <w:rsid w:val="00A373F3"/>
    <w:rsid w:val="00A92778"/>
    <w:rsid w:val="00C81778"/>
    <w:rsid w:val="00CB09E4"/>
    <w:rsid w:val="00CC074C"/>
    <w:rsid w:val="00D34FEF"/>
    <w:rsid w:val="00DA4388"/>
    <w:rsid w:val="00DB59AA"/>
    <w:rsid w:val="00DE6C5E"/>
    <w:rsid w:val="00E015EA"/>
    <w:rsid w:val="00E41F2B"/>
    <w:rsid w:val="00E67247"/>
    <w:rsid w:val="00E962C2"/>
    <w:rsid w:val="00EB6B0C"/>
    <w:rsid w:val="00EC3120"/>
    <w:rsid w:val="00EC3A99"/>
    <w:rsid w:val="00F26943"/>
    <w:rsid w:val="00FA2C18"/>
    <w:rsid w:val="00FC007B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aliases w:val="Normal numerado"/>
    <w:basedOn w:val="Normal"/>
    <w:uiPriority w:val="1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Corpodetexto2">
    <w:name w:val="Body Text 2"/>
    <w:basedOn w:val="Normal"/>
    <w:link w:val="Corpodetexto2Char"/>
    <w:rsid w:val="001D2A89"/>
    <w:pPr>
      <w:spacing w:after="120" w:line="480" w:lineRule="auto"/>
    </w:pPr>
    <w:rPr>
      <w:rFonts w:ascii="Cambria" w:eastAsia="Cambria" w:hAnsi="Cambria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D2A89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Walter Araujo</dc:creator>
  <cp:lastModifiedBy>Lohan dos Santos Mota</cp:lastModifiedBy>
  <cp:revision>2</cp:revision>
  <dcterms:created xsi:type="dcterms:W3CDTF">2023-10-24T02:09:00Z</dcterms:created>
  <dcterms:modified xsi:type="dcterms:W3CDTF">2023-10-24T02:09:00Z</dcterms:modified>
</cp:coreProperties>
</file>