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0378F" w14:textId="77777777" w:rsidR="00CA7E1B" w:rsidRDefault="00CA7E1B" w:rsidP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tbl>
      <w:tblPr>
        <w:tblStyle w:val="Tabelacomgrade"/>
        <w:tblW w:w="0" w:type="auto"/>
        <w:tblInd w:w="5524" w:type="dxa"/>
        <w:tblLook w:val="04A0" w:firstRow="1" w:lastRow="0" w:firstColumn="1" w:lastColumn="0" w:noHBand="0" w:noVBand="1"/>
      </w:tblPr>
      <w:tblGrid>
        <w:gridCol w:w="3538"/>
      </w:tblGrid>
      <w:tr w:rsidR="00CA7E1B" w14:paraId="684181A8" w14:textId="77777777" w:rsidTr="00CA7E1B">
        <w:tc>
          <w:tcPr>
            <w:tcW w:w="3538" w:type="dxa"/>
          </w:tcPr>
          <w:p w14:paraId="0FEBE875" w14:textId="234A2A47" w:rsidR="00CA7E1B" w:rsidRPr="00CA7E1B" w:rsidRDefault="00CA7E1B" w:rsidP="00062887">
            <w:pPr>
              <w:spacing w:before="240" w:after="240"/>
              <w:jc w:val="both"/>
              <w:rPr>
                <w:rFonts w:ascii="Bookman Old Style" w:eastAsia="Bookman Old Style" w:hAnsi="Bookman Old Style" w:cs="Bookman Old Style"/>
                <w:b/>
                <w:bCs/>
                <w:i/>
                <w:iCs/>
                <w:sz w:val="24"/>
                <w:szCs w:val="24"/>
              </w:rPr>
            </w:pPr>
            <w:r w:rsidRPr="00CA7E1B">
              <w:rPr>
                <w:b/>
                <w:bCs/>
                <w:i/>
                <w:iCs/>
              </w:rPr>
              <w:t>“É</w:t>
            </w:r>
            <w:r w:rsidRPr="00CA7E1B">
              <w:rPr>
                <w:b/>
                <w:bCs/>
                <w:i/>
                <w:iCs/>
              </w:rPr>
              <w:t xml:space="preserve"> expressamente afastada a impenhorabilidade do imóvel bem de família nos casos em que foi dado em garantia real pela própria entidade familiar, nos termos do artigo 3º da Lei nº 8.009/90</w:t>
            </w:r>
            <w:r w:rsidRPr="00CA7E1B">
              <w:rPr>
                <w:b/>
                <w:bCs/>
                <w:i/>
                <w:iCs/>
              </w:rPr>
              <w:t>”</w:t>
            </w:r>
            <w:r w:rsidRPr="00CA7E1B">
              <w:rPr>
                <w:b/>
                <w:bCs/>
                <w:i/>
                <w:iCs/>
              </w:rPr>
              <w:t>.</w:t>
            </w:r>
          </w:p>
        </w:tc>
      </w:tr>
    </w:tbl>
    <w:p w14:paraId="47965CA3" w14:textId="77777777" w:rsidR="00CA7E1B" w:rsidRDefault="00CA7E1B" w:rsidP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2DBB9FDD" w14:textId="0A25FEF9" w:rsidR="009F54E5" w:rsidRDefault="00062887" w:rsidP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062887">
        <w:rPr>
          <w:rFonts w:ascii="Bookman Old Style" w:eastAsia="Bookman Old Style" w:hAnsi="Bookman Old Style" w:cs="Bookman Old Style"/>
          <w:sz w:val="24"/>
          <w:szCs w:val="24"/>
        </w:rPr>
        <w:t xml:space="preserve">Excelentíssimo Senhor Doutor Desembargador </w:t>
      </w:r>
      <w:r w:rsidR="00F97C93">
        <w:rPr>
          <w:rFonts w:ascii="Bookman Old Style" w:eastAsia="Bookman Old Style" w:hAnsi="Bookman Old Style" w:cs="Bookman Old Style"/>
          <w:sz w:val="24"/>
          <w:szCs w:val="24"/>
        </w:rPr>
        <w:t>Federal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710448" w:rsidRPr="00710448">
        <w:rPr>
          <w:rFonts w:ascii="Bookman Old Style" w:eastAsia="Bookman Old Style" w:hAnsi="Bookman Old Style" w:cs="Bookman Old Style"/>
          <w:sz w:val="24"/>
          <w:szCs w:val="24"/>
        </w:rPr>
        <w:t xml:space="preserve">Marcos Roberto Araujo </w:t>
      </w:r>
      <w:r w:rsidR="00710448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="00710448" w:rsidRPr="00710448">
        <w:rPr>
          <w:rFonts w:ascii="Bookman Old Style" w:eastAsia="Bookman Old Style" w:hAnsi="Bookman Old Style" w:cs="Bookman Old Style"/>
          <w:sz w:val="24"/>
          <w:szCs w:val="24"/>
        </w:rPr>
        <w:t>os Santos</w:t>
      </w:r>
      <w:r w:rsidR="00062F84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>– Relator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d</w:t>
      </w:r>
      <w:r w:rsidR="00F97C93">
        <w:rPr>
          <w:rFonts w:ascii="Bookman Old Style" w:eastAsia="Bookman Old Style" w:hAnsi="Bookman Old Style" w:cs="Bookman Old Style"/>
          <w:sz w:val="24"/>
          <w:szCs w:val="24"/>
        </w:rPr>
        <w:t>o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F97C93">
        <w:rPr>
          <w:rFonts w:ascii="Bookman Old Style" w:eastAsia="Bookman Old Style" w:hAnsi="Bookman Old Style" w:cs="Bookman Old Style"/>
          <w:sz w:val="24"/>
          <w:szCs w:val="24"/>
        </w:rPr>
        <w:t>Agravo de Instrumento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 xml:space="preserve"> N.º </w:t>
      </w:r>
      <w:r w:rsidR="00683E18" w:rsidRPr="00683E18">
        <w:rPr>
          <w:rFonts w:ascii="Bookman Old Style" w:eastAsia="Bookman Old Style" w:hAnsi="Bookman Old Style" w:cs="Bookman Old Style"/>
          <w:sz w:val="24"/>
          <w:szCs w:val="24"/>
        </w:rPr>
        <w:t>5030237-74.2023.4.04.0000/RS</w:t>
      </w:r>
      <w:r w:rsidR="00155286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 xml:space="preserve">– </w:t>
      </w:r>
      <w:r w:rsidR="00710448">
        <w:rPr>
          <w:rFonts w:ascii="Bookman Old Style" w:eastAsia="Bookman Old Style" w:hAnsi="Bookman Old Style" w:cs="Bookman Old Style"/>
          <w:sz w:val="24"/>
          <w:szCs w:val="24"/>
        </w:rPr>
        <w:t>4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 xml:space="preserve">ª </w:t>
      </w:r>
      <w:r w:rsidR="00F97C93">
        <w:rPr>
          <w:rFonts w:ascii="Bookman Old Style" w:eastAsia="Bookman Old Style" w:hAnsi="Bookman Old Style" w:cs="Bookman Old Style"/>
          <w:sz w:val="24"/>
          <w:szCs w:val="24"/>
        </w:rPr>
        <w:t>Turma Recursal do Tribunal Regional Federal da 4ª Região – TRF4</w:t>
      </w:r>
      <w:r w:rsidRPr="00062887"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> </w:t>
      </w:r>
    </w:p>
    <w:p w14:paraId="6230E2DD" w14:textId="0671EA3F" w:rsidR="00D0597D" w:rsidRDefault="00F556C1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 </w:t>
      </w:r>
    </w:p>
    <w:p w14:paraId="1BD5BB88" w14:textId="77777777" w:rsidR="00D0597D" w:rsidRDefault="00D0597D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5861EDA9" w14:textId="07D44B7B" w:rsidR="009F54E5" w:rsidRDefault="00F556C1">
      <w:pPr>
        <w:pStyle w:val="Textosimples"/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Processo n° </w:t>
      </w:r>
      <w:r w:rsidR="00710448" w:rsidRPr="00AD1EE7">
        <w:rPr>
          <w:rFonts w:ascii="Bookman Old Style" w:eastAsia="Bookman Old Style" w:hAnsi="Bookman Old Style" w:cs="Bookman Old Style"/>
          <w:sz w:val="24"/>
          <w:szCs w:val="24"/>
        </w:rPr>
        <w:t>5025799-05.2023.4.04.0000/RS</w:t>
      </w:r>
    </w:p>
    <w:p w14:paraId="0B4318AE" w14:textId="0C852596" w:rsidR="00D0597D" w:rsidRDefault="00F556C1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 </w:t>
      </w:r>
    </w:p>
    <w:p w14:paraId="03A4E4FE" w14:textId="77777777" w:rsidR="00D0597D" w:rsidRDefault="00D0597D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2A890EEA" w14:textId="4E2ED718" w:rsidR="009F54E5" w:rsidRDefault="00F97C93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>CAIXA ECONÔMICA FEDERAL</w:t>
      </w:r>
      <w:r w:rsidR="00F556C1">
        <w:rPr>
          <w:rFonts w:ascii="Bookman Old Style" w:eastAsia="Bookman Old Style" w:hAnsi="Bookman Old Style" w:cs="Bookman Old Style"/>
          <w:sz w:val="24"/>
          <w:szCs w:val="24"/>
        </w:rPr>
        <w:t xml:space="preserve">, devidamente qualificada nos autos da ação em epígrafe, proposta </w:t>
      </w:r>
      <w:r w:rsidR="00062887">
        <w:rPr>
          <w:rFonts w:ascii="Bookman Old Style" w:eastAsia="Bookman Old Style" w:hAnsi="Bookman Old Style" w:cs="Bookman Old Style"/>
          <w:sz w:val="24"/>
          <w:szCs w:val="24"/>
        </w:rPr>
        <w:t>em face da</w:t>
      </w:r>
      <w:r w:rsidR="00F556C1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683E18" w:rsidRPr="00683E18">
        <w:rPr>
          <w:rFonts w:ascii="Bookman Old Style" w:eastAsia="Bookman Old Style" w:hAnsi="Bookman Old Style" w:cs="Bookman Old Style"/>
          <w:b/>
          <w:bCs/>
          <w:sz w:val="24"/>
          <w:szCs w:val="24"/>
        </w:rPr>
        <w:t>IVANIRA TERESINHA DAL BO</w:t>
      </w:r>
      <w:r w:rsidR="00683E18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 </w:t>
      </w:r>
      <w:r w:rsidR="00683E18">
        <w:rPr>
          <w:rFonts w:ascii="Bookman Old Style" w:eastAsia="Bookman Old Style" w:hAnsi="Bookman Old Style" w:cs="Bookman Old Style"/>
          <w:sz w:val="24"/>
          <w:szCs w:val="24"/>
        </w:rPr>
        <w:t>e</w:t>
      </w:r>
      <w:r w:rsidR="00683E18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 </w:t>
      </w:r>
      <w:r w:rsidR="00683E18" w:rsidRPr="00683E18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ULISSES MAXIMILIANO DAL BO</w:t>
      </w:r>
      <w:r w:rsidR="00F556C1">
        <w:rPr>
          <w:rFonts w:ascii="Bookman Old Style" w:eastAsia="Bookman Old Style" w:hAnsi="Bookman Old Style" w:cs="Bookman Old Style"/>
          <w:sz w:val="24"/>
          <w:szCs w:val="24"/>
        </w:rPr>
        <w:t xml:space="preserve">, igualmente qualificada, vem, por intercessão de seu advogado, oferecer suas </w:t>
      </w:r>
      <w:r w:rsidR="00F556C1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CONTRARRAZÕES AO </w:t>
      </w:r>
      <w:r w:rsidR="00062887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AGRAVO </w:t>
      </w:r>
      <w:r w:rsidR="00A4762D">
        <w:rPr>
          <w:rFonts w:ascii="Bookman Old Style" w:eastAsia="Bookman Old Style" w:hAnsi="Bookman Old Style" w:cs="Bookman Old Style"/>
          <w:b/>
          <w:bCs/>
          <w:sz w:val="24"/>
          <w:szCs w:val="24"/>
        </w:rPr>
        <w:t>DE INSTRUMENTO</w:t>
      </w:r>
      <w:r w:rsidR="00F556C1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 </w:t>
      </w:r>
      <w:r w:rsidR="00F556C1">
        <w:rPr>
          <w:rFonts w:ascii="Bookman Old Style" w:eastAsia="Bookman Old Style" w:hAnsi="Bookman Old Style" w:cs="Bookman Old Style"/>
          <w:sz w:val="24"/>
          <w:szCs w:val="24"/>
        </w:rPr>
        <w:t xml:space="preserve">interposto pela </w:t>
      </w:r>
      <w:r w:rsidR="00A4762D">
        <w:rPr>
          <w:rFonts w:ascii="Bookman Old Style" w:eastAsia="Bookman Old Style" w:hAnsi="Bookman Old Style" w:cs="Bookman Old Style"/>
          <w:sz w:val="24"/>
          <w:szCs w:val="24"/>
        </w:rPr>
        <w:t>executada</w:t>
      </w:r>
      <w:r w:rsidR="00062887">
        <w:rPr>
          <w:rFonts w:ascii="Bookman Old Style" w:eastAsia="Bookman Old Style" w:hAnsi="Bookman Old Style" w:cs="Bookman Old Style"/>
          <w:sz w:val="24"/>
          <w:szCs w:val="24"/>
        </w:rPr>
        <w:t>, ora agravante</w:t>
      </w:r>
      <w:r w:rsidR="00F556C1">
        <w:rPr>
          <w:rFonts w:ascii="Bookman Old Style" w:eastAsia="Bookman Old Style" w:hAnsi="Bookman Old Style" w:cs="Bookman Old Style"/>
          <w:sz w:val="24"/>
          <w:szCs w:val="24"/>
        </w:rPr>
        <w:t>, sob a forma de memorial em anexo.</w:t>
      </w:r>
    </w:p>
    <w:p w14:paraId="144EE823" w14:textId="77777777" w:rsidR="00062887" w:rsidRDefault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</w:p>
    <w:p w14:paraId="39A31791" w14:textId="5ACECEBF" w:rsidR="009F54E5" w:rsidRDefault="00F556C1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I -SÍNTESE DO </w:t>
      </w:r>
      <w:r w:rsidR="00062887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AGRAVO </w:t>
      </w:r>
      <w:r w:rsidR="003A1395">
        <w:rPr>
          <w:rFonts w:ascii="Bookman Old Style" w:eastAsia="Bookman Old Style" w:hAnsi="Bookman Old Style" w:cs="Bookman Old Style"/>
          <w:b/>
          <w:bCs/>
          <w:sz w:val="24"/>
          <w:szCs w:val="24"/>
        </w:rPr>
        <w:t>DE INSTRUMENTO</w:t>
      </w:r>
    </w:p>
    <w:p w14:paraId="40CBF177" w14:textId="77777777" w:rsidR="009F54E5" w:rsidRDefault="00F556C1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 </w:t>
      </w:r>
    </w:p>
    <w:p w14:paraId="6AFB2943" w14:textId="01909ACE" w:rsidR="009F54E5" w:rsidRDefault="00F556C1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Cuida-se </w:t>
      </w:r>
      <w:r w:rsidR="00075599">
        <w:rPr>
          <w:rFonts w:ascii="Bookman Old Style" w:eastAsia="Bookman Old Style" w:hAnsi="Bookman Old Style" w:cs="Bookman Old Style"/>
          <w:sz w:val="24"/>
          <w:szCs w:val="24"/>
        </w:rPr>
        <w:t xml:space="preserve">o recurso da agravante de mero inconformismo, </w:t>
      </w:r>
      <w:r w:rsidR="00714813">
        <w:rPr>
          <w:rFonts w:ascii="Bookman Old Style" w:eastAsia="Bookman Old Style" w:hAnsi="Bookman Old Style" w:cs="Bookman Old Style"/>
          <w:sz w:val="24"/>
          <w:szCs w:val="24"/>
        </w:rPr>
        <w:t xml:space="preserve">num ato já de desespero, </w:t>
      </w:r>
      <w:r w:rsidR="003A1395">
        <w:rPr>
          <w:rFonts w:ascii="Bookman Old Style" w:eastAsia="Bookman Old Style" w:hAnsi="Bookman Old Style" w:cs="Bookman Old Style"/>
          <w:sz w:val="24"/>
          <w:szCs w:val="24"/>
        </w:rPr>
        <w:t>demonstrando</w:t>
      </w:r>
      <w:r w:rsidR="00714813">
        <w:rPr>
          <w:rFonts w:ascii="Bookman Old Style" w:eastAsia="Bookman Old Style" w:hAnsi="Bookman Old Style" w:cs="Bookman Old Style"/>
          <w:sz w:val="24"/>
          <w:szCs w:val="24"/>
        </w:rPr>
        <w:t xml:space="preserve"> argumentações inquestionavelmente </w:t>
      </w:r>
      <w:proofErr w:type="spellStart"/>
      <w:r w:rsidR="00714813">
        <w:rPr>
          <w:rFonts w:ascii="Bookman Old Style" w:eastAsia="Bookman Old Style" w:hAnsi="Bookman Old Style" w:cs="Bookman Old Style"/>
          <w:sz w:val="24"/>
          <w:szCs w:val="24"/>
        </w:rPr>
        <w:t>atécnicas</w:t>
      </w:r>
      <w:proofErr w:type="spellEnd"/>
      <w:r w:rsidR="00714813">
        <w:rPr>
          <w:rFonts w:ascii="Bookman Old Style" w:eastAsia="Bookman Old Style" w:hAnsi="Bookman Old Style" w:cs="Bookman Old Style"/>
          <w:sz w:val="24"/>
          <w:szCs w:val="24"/>
        </w:rPr>
        <w:t xml:space="preserve"> para tentar </w:t>
      </w:r>
      <w:r w:rsidR="00AD1EE7">
        <w:rPr>
          <w:rFonts w:ascii="Bookman Old Style" w:eastAsia="Bookman Old Style" w:hAnsi="Bookman Old Style" w:cs="Bookman Old Style"/>
          <w:sz w:val="24"/>
          <w:szCs w:val="24"/>
        </w:rPr>
        <w:t xml:space="preserve">impedir </w:t>
      </w:r>
      <w:r w:rsidR="00CA7E1B">
        <w:rPr>
          <w:rFonts w:ascii="Bookman Old Style" w:eastAsia="Bookman Old Style" w:hAnsi="Bookman Old Style" w:cs="Bookman Old Style"/>
          <w:sz w:val="24"/>
          <w:szCs w:val="24"/>
        </w:rPr>
        <w:t>a alienação definitiva do imóvel com a satisfação da inequívoca dívida!</w:t>
      </w:r>
    </w:p>
    <w:p w14:paraId="406AD0AC" w14:textId="77777777" w:rsidR="009F54E5" w:rsidRDefault="00F556C1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 </w:t>
      </w:r>
    </w:p>
    <w:p w14:paraId="5309B4ED" w14:textId="3BB51CC6" w:rsidR="009F54E5" w:rsidRPr="00AD1EE7" w:rsidRDefault="00CA7E1B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lastRenderedPageBreak/>
        <w:t>Há de se levar</w:t>
      </w:r>
      <w:r w:rsidR="00AD1EE7" w:rsidRPr="00AD1EE7">
        <w:rPr>
          <w:rFonts w:ascii="Bookman Old Style" w:eastAsia="Bookman Old Style" w:hAnsi="Bookman Old Style" w:cs="Bookman Old Style"/>
          <w:sz w:val="24"/>
          <w:szCs w:val="24"/>
        </w:rPr>
        <w:t xml:space="preserve"> em conta que o executado não apresenta prova robustas da impenhorabilidade do </w:t>
      </w:r>
      <w:r>
        <w:rPr>
          <w:rFonts w:ascii="Bookman Old Style" w:eastAsia="Bookman Old Style" w:hAnsi="Bookman Old Style" w:cs="Bookman Old Style"/>
          <w:sz w:val="24"/>
          <w:szCs w:val="24"/>
        </w:rPr>
        <w:t>imóvel</w:t>
      </w:r>
      <w:r w:rsidR="00AD1EE7" w:rsidRPr="00AD1EE7">
        <w:rPr>
          <w:rFonts w:ascii="Bookman Old Style" w:eastAsia="Bookman Old Style" w:hAnsi="Bookman Old Style" w:cs="Bookman Old Style"/>
          <w:sz w:val="24"/>
          <w:szCs w:val="24"/>
        </w:rPr>
        <w:t>, tampouco traz elementos tendentes a afastar a regra de penhorabilidade e da responsabilidade patrimonial, indefiro o pedido</w:t>
      </w:r>
      <w:r w:rsidR="00F556C1" w:rsidRPr="00AD1EE7">
        <w:rPr>
          <w:rFonts w:ascii="Bookman Old Style" w:eastAsia="Bookman Old Style" w:hAnsi="Bookman Old Style" w:cs="Bookman Old Style"/>
          <w:sz w:val="24"/>
          <w:szCs w:val="24"/>
        </w:rPr>
        <w:t>”</w:t>
      </w:r>
    </w:p>
    <w:p w14:paraId="174D39D7" w14:textId="77777777" w:rsidR="00894880" w:rsidRDefault="00894880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7CFD34F8" w14:textId="3AF4DCA2" w:rsidR="00062887" w:rsidRDefault="00062887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Porém, Excelências, </w:t>
      </w:r>
      <w:r w:rsidR="00966577">
        <w:rPr>
          <w:rFonts w:ascii="Bookman Old Style" w:eastAsia="Bookman Old Style" w:hAnsi="Bookman Old Style" w:cs="Bookman Old Style"/>
          <w:sz w:val="24"/>
          <w:szCs w:val="24"/>
        </w:rPr>
        <w:t xml:space="preserve">inconformada a parte contrária com o acertado </w:t>
      </w:r>
      <w:r w:rsidR="00D0597D" w:rsidRPr="00D0597D">
        <w:rPr>
          <w:rFonts w:ascii="Bookman Old Style" w:eastAsia="Bookman Old Style" w:hAnsi="Bookman Old Style" w:cs="Bookman Old Style"/>
          <w:i/>
          <w:iCs/>
          <w:sz w:val="24"/>
          <w:szCs w:val="24"/>
        </w:rPr>
        <w:t>decisum</w:t>
      </w:r>
      <w:r w:rsidR="00966577">
        <w:rPr>
          <w:rFonts w:ascii="Bookman Old Style" w:eastAsia="Bookman Old Style" w:hAnsi="Bookman Old Style" w:cs="Bookman Old Style"/>
          <w:sz w:val="24"/>
          <w:szCs w:val="24"/>
        </w:rPr>
        <w:t>, a part</w:t>
      </w:r>
      <w:r w:rsidR="00B87F69">
        <w:rPr>
          <w:rFonts w:ascii="Bookman Old Style" w:eastAsia="Bookman Old Style" w:hAnsi="Bookman Old Style" w:cs="Bookman Old Style"/>
          <w:sz w:val="24"/>
          <w:szCs w:val="24"/>
        </w:rPr>
        <w:t xml:space="preserve">e demandada interpõe agravo </w:t>
      </w:r>
      <w:r w:rsidR="00062F84">
        <w:rPr>
          <w:rFonts w:ascii="Bookman Old Style" w:eastAsia="Bookman Old Style" w:hAnsi="Bookman Old Style" w:cs="Bookman Old Style"/>
          <w:sz w:val="24"/>
          <w:szCs w:val="24"/>
        </w:rPr>
        <w:t>de instrumento</w:t>
      </w:r>
      <w:r w:rsidR="00B87F69">
        <w:rPr>
          <w:rFonts w:ascii="Bookman Old Style" w:eastAsia="Bookman Old Style" w:hAnsi="Bookman Old Style" w:cs="Bookman Old Style"/>
          <w:sz w:val="24"/>
          <w:szCs w:val="24"/>
        </w:rPr>
        <w:t xml:space="preserve"> se</w:t>
      </w:r>
      <w:r w:rsidR="00062F84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="00B87F69">
        <w:rPr>
          <w:rFonts w:ascii="Bookman Old Style" w:eastAsia="Bookman Old Style" w:hAnsi="Bookman Old Style" w:cs="Bookman Old Style"/>
          <w:sz w:val="24"/>
          <w:szCs w:val="24"/>
        </w:rPr>
        <w:t xml:space="preserve"> qualquer novo fundamento, seja de provas</w:t>
      </w:r>
      <w:r w:rsidR="003A1395">
        <w:rPr>
          <w:rFonts w:ascii="Bookman Old Style" w:eastAsia="Bookman Old Style" w:hAnsi="Bookman Old Style" w:cs="Bookman Old Style"/>
          <w:sz w:val="24"/>
          <w:szCs w:val="24"/>
        </w:rPr>
        <w:t>,</w:t>
      </w:r>
      <w:r w:rsidR="00B87F69">
        <w:rPr>
          <w:rFonts w:ascii="Bookman Old Style" w:eastAsia="Bookman Old Style" w:hAnsi="Bookman Old Style" w:cs="Bookman Old Style"/>
          <w:sz w:val="24"/>
          <w:szCs w:val="24"/>
        </w:rPr>
        <w:t xml:space="preserve"> seja um melhor embasamento jurisprudencial que justifique a </w:t>
      </w:r>
      <w:r w:rsidR="00062F84">
        <w:rPr>
          <w:rFonts w:ascii="Bookman Old Style" w:eastAsia="Bookman Old Style" w:hAnsi="Bookman Old Style" w:cs="Bookman Old Style"/>
          <w:sz w:val="24"/>
          <w:szCs w:val="24"/>
        </w:rPr>
        <w:t xml:space="preserve">alteração da manutenção </w:t>
      </w:r>
      <w:r w:rsidR="003A1395">
        <w:rPr>
          <w:rFonts w:ascii="Bookman Old Style" w:eastAsia="Bookman Old Style" w:hAnsi="Bookman Old Style" w:cs="Bookman Old Style"/>
          <w:sz w:val="24"/>
          <w:szCs w:val="24"/>
        </w:rPr>
        <w:t>do jugado fustigado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DC342FA" w14:textId="77777777" w:rsidR="00D0597D" w:rsidRDefault="00D0597D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026A9BF8" w14:textId="77777777" w:rsidR="00D0597D" w:rsidRDefault="00D0597D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Mais que isso, A DISCUSSÃO NOVAMENTE REVOLVIDA JÁ FOI JULGADA NOS AUTOS DO PROCESSO </w:t>
      </w:r>
      <w:r w:rsidRPr="00D0597D">
        <w:rPr>
          <w:rFonts w:ascii="Bookman Old Style" w:eastAsia="Bookman Old Style" w:hAnsi="Bookman Old Style" w:cs="Bookman Old Style"/>
          <w:sz w:val="24"/>
          <w:szCs w:val="24"/>
        </w:rPr>
        <w:t>5009447-69.2023.4.04.0000/TR</w:t>
      </w:r>
      <w:r>
        <w:rPr>
          <w:rFonts w:ascii="Bookman Old Style" w:eastAsia="Bookman Old Style" w:hAnsi="Bookman Old Style" w:cs="Bookman Old Style"/>
          <w:sz w:val="24"/>
          <w:szCs w:val="24"/>
        </w:rPr>
        <w:t>F, do qual já consta acórdão de agravo de instrumento decidindo pela regularidade de TODOS os procedimentos da execução extrajudicial promovida pela CAIXA, na condição de credora fiduciária.</w:t>
      </w:r>
    </w:p>
    <w:p w14:paraId="1F50CFD3" w14:textId="77777777" w:rsidR="00D0597D" w:rsidRDefault="00D0597D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452B6B89" w14:textId="57FED640" w:rsidR="00D0597D" w:rsidRDefault="00D0597D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Ora, o que pretende o agravante, eternizar um litígio já resolvido, eternizando-o até que eventualmente pudesse obter uma decisão que lhe fosse favorável (o que jamais viria a ocorrer, mormente por todos os fatos e fundamentos que favorecem os procedimentos da empresa pública), em total detrimento da COISA JULGADA MATERIAL? Por certo, o recurso não merece sequer ser conhecido, por afrontar diretamente a coisa julgada.</w:t>
      </w:r>
      <w:r w:rsidRPr="00D0597D">
        <w:rPr>
          <w:rFonts w:ascii="Bookman Old Style" w:eastAsia="Bookman Old Style" w:hAnsi="Bookman Old Style" w:cs="Bookman Old Style"/>
          <w:sz w:val="24"/>
          <w:szCs w:val="24"/>
        </w:rPr>
        <w:tab/>
      </w:r>
    </w:p>
    <w:p w14:paraId="42B8726B" w14:textId="1371EA41" w:rsidR="00B87F69" w:rsidRDefault="00B87F69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Assim sendo, pela análise dos autos num cotejo com as argumentações aqui trazidas, restará clara o necessário improvimento ao recurso autoral, inclusive com </w:t>
      </w:r>
      <w:r w:rsidR="00A4762D">
        <w:rPr>
          <w:rFonts w:ascii="Bookman Old Style" w:eastAsia="Bookman Old Style" w:hAnsi="Bookman Old Style" w:cs="Bookman Old Style"/>
          <w:sz w:val="24"/>
          <w:szCs w:val="24"/>
        </w:rPr>
        <w:t>estipulação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da verba sucumbencial.</w:t>
      </w:r>
    </w:p>
    <w:p w14:paraId="43D22110" w14:textId="77777777" w:rsidR="00683E18" w:rsidRDefault="00683E18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062C56A1" w14:textId="2ADC443E" w:rsidR="00062887" w:rsidRDefault="00062887" w:rsidP="00CA7E1B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II – DAS RAZÕES JURÍGENAS PARA MANUTENÇÃO DA DECISÃO PROFERIDA PELO </w:t>
      </w:r>
      <w:r w:rsidR="004E2923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JUÍZO </w:t>
      </w:r>
      <w:r w:rsidR="004E2923" w:rsidRPr="004E2923">
        <w:rPr>
          <w:rFonts w:ascii="Bookman Old Style" w:eastAsia="Bookman Old Style" w:hAnsi="Bookman Old Style" w:cs="Bookman Old Style"/>
          <w:b/>
          <w:bCs/>
          <w:i/>
          <w:iCs/>
          <w:sz w:val="24"/>
          <w:szCs w:val="24"/>
        </w:rPr>
        <w:t>A QUO</w:t>
      </w:r>
    </w:p>
    <w:p w14:paraId="6D85B512" w14:textId="77777777" w:rsidR="00D0597D" w:rsidRPr="00D0597D" w:rsidRDefault="00D0597D" w:rsidP="00D0597D">
      <w:pPr>
        <w:spacing w:before="200" w:after="200" w:line="240" w:lineRule="auto"/>
        <w:ind w:right="426" w:firstLine="1134"/>
        <w:jc w:val="center"/>
        <w:rPr>
          <w:rFonts w:ascii="Bookman Old Style" w:hAnsi="Bookman Old Style" w:cstheme="minorHAnsi"/>
          <w:b/>
          <w:bCs/>
          <w:u w:val="single"/>
        </w:rPr>
      </w:pPr>
    </w:p>
    <w:p w14:paraId="1FD7F6DB" w14:textId="77777777" w:rsidR="00CA7E1B" w:rsidRPr="00D0597D" w:rsidRDefault="00CA7E1B" w:rsidP="00D0597D">
      <w:pPr>
        <w:spacing w:before="200" w:after="200" w:line="240" w:lineRule="auto"/>
        <w:ind w:right="426" w:firstLine="1134"/>
        <w:jc w:val="center"/>
        <w:rPr>
          <w:rFonts w:ascii="Bookman Old Style" w:hAnsi="Bookman Old Style" w:cstheme="minorHAnsi"/>
          <w:b/>
          <w:bCs/>
          <w:u w:val="single"/>
        </w:rPr>
      </w:pPr>
      <w:r w:rsidRPr="00D0597D">
        <w:rPr>
          <w:rFonts w:ascii="Bookman Old Style" w:hAnsi="Bookman Old Style" w:cstheme="minorHAnsi"/>
          <w:b/>
          <w:bCs/>
          <w:u w:val="single"/>
        </w:rPr>
        <w:t>BREVE SÍNTESE DA DEMANDA</w:t>
      </w:r>
    </w:p>
    <w:p w14:paraId="3B25F76A" w14:textId="77777777" w:rsidR="00CA7E1B" w:rsidRPr="00D0597D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3A917EC4" w14:textId="57E78B99" w:rsidR="00CA7E1B" w:rsidRPr="00D0597D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>O</w:t>
      </w:r>
      <w:r w:rsidR="00D0597D">
        <w:rPr>
          <w:rFonts w:ascii="Bookman Old Style" w:hAnsi="Bookman Old Style" w:cstheme="minorHAnsi"/>
        </w:rPr>
        <w:t>s</w:t>
      </w:r>
      <w:r w:rsidRPr="00D0597D">
        <w:rPr>
          <w:rFonts w:ascii="Bookman Old Style" w:hAnsi="Bookman Old Style" w:cstheme="minorHAnsi"/>
        </w:rPr>
        <w:t xml:space="preserve"> </w:t>
      </w:r>
      <w:r w:rsidR="00D0597D">
        <w:rPr>
          <w:rFonts w:ascii="Bookman Old Style" w:hAnsi="Bookman Old Style" w:cstheme="minorHAnsi"/>
        </w:rPr>
        <w:t>agravantes</w:t>
      </w:r>
      <w:r w:rsidRPr="00D0597D">
        <w:rPr>
          <w:rFonts w:ascii="Bookman Old Style" w:hAnsi="Bookman Old Style" w:cstheme="minorHAnsi"/>
        </w:rPr>
        <w:t xml:space="preserve"> confessa</w:t>
      </w:r>
      <w:r w:rsidR="00D0597D">
        <w:rPr>
          <w:rFonts w:ascii="Bookman Old Style" w:hAnsi="Bookman Old Style" w:cstheme="minorHAnsi"/>
        </w:rPr>
        <w:t>m</w:t>
      </w:r>
      <w:r w:rsidRPr="00D0597D">
        <w:rPr>
          <w:rFonts w:ascii="Bookman Old Style" w:hAnsi="Bookman Old Style" w:cstheme="minorHAnsi"/>
        </w:rPr>
        <w:t xml:space="preserve"> ter celebrado contrato de mútuo com garantia fiduciária com a Caixa Econômica Federal, tendo restado inadimplente, o que deu azo à alienação fiduciária que era a garantia do credor.</w:t>
      </w:r>
    </w:p>
    <w:p w14:paraId="7472D37C" w14:textId="77777777" w:rsidR="00D0597D" w:rsidRDefault="00D0597D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AB8F633" w14:textId="68E3564E" w:rsidR="00CA7E1B" w:rsidRPr="00D0597D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>Argumenta, porém, que o imóvel deliberadamente dado em garantia, o qual apresentou-se de uso estritamente comercial, abrigava também a residência dos autores.</w:t>
      </w:r>
    </w:p>
    <w:p w14:paraId="33E695C3" w14:textId="77777777" w:rsidR="00D0597D" w:rsidRDefault="00D0597D" w:rsidP="00D0597D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24C9E9EE" w14:textId="4C38A389" w:rsidR="00CA7E1B" w:rsidRPr="00D0597D" w:rsidRDefault="00CA7E1B" w:rsidP="00D0597D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>Assim, roga pelo desfazimento da execução extrajudicial em curso, sob a alegação de tratar-se de “bem de família”, portanto, impenhorável.</w:t>
      </w:r>
    </w:p>
    <w:p w14:paraId="293454A0" w14:textId="77777777" w:rsidR="00D0597D" w:rsidRDefault="00D0597D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1201C69" w14:textId="351607C1" w:rsidR="00CA7E1B" w:rsidRDefault="00D0597D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Alega ainda, apenas nesse grau recursal, ou seja, em desrespeito art. 329, I, CPC, busca alegar eventual (inexistente) irregularidade contratual, sendo certo que o negócio jurídico foi livremente realizado e não possui qualquer vício do consentimento que possa maculá-lo.</w:t>
      </w:r>
    </w:p>
    <w:p w14:paraId="5917CCD6" w14:textId="77777777" w:rsidR="00D0597D" w:rsidRPr="00D0597D" w:rsidRDefault="00D0597D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7EED6E3" w14:textId="43F8A671" w:rsidR="00CA7E1B" w:rsidRPr="00D0597D" w:rsidRDefault="00D0597D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Assim</w:t>
      </w:r>
      <w:r w:rsidR="00CA7E1B" w:rsidRPr="00D0597D">
        <w:rPr>
          <w:rFonts w:ascii="Bookman Old Style" w:hAnsi="Bookman Old Style" w:cstheme="minorHAnsi"/>
        </w:rPr>
        <w:t>, restará devidamente comprovado que as rasas e em alguns pontos absurdas alegações da parte autora não merecem prosperar.</w:t>
      </w:r>
    </w:p>
    <w:p w14:paraId="20B6AE4A" w14:textId="77777777" w:rsidR="00CA7E1B" w:rsidRPr="00D0597D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1B490F0C" w14:textId="45FBA1A9" w:rsidR="00CA7E1B" w:rsidRPr="00D0597D" w:rsidRDefault="00683E18" w:rsidP="00D0597D">
      <w:pPr>
        <w:spacing w:line="360" w:lineRule="auto"/>
        <w:ind w:right="426" w:firstLine="1134"/>
        <w:jc w:val="center"/>
        <w:rPr>
          <w:rFonts w:ascii="Bookman Old Style" w:hAnsi="Bookman Old Style" w:cstheme="minorHAnsi"/>
          <w:b/>
          <w:bCs/>
          <w:u w:val="single"/>
        </w:rPr>
      </w:pPr>
      <w:r>
        <w:rPr>
          <w:rFonts w:ascii="Bookman Old Style" w:hAnsi="Bookman Old Style" w:cstheme="minorHAnsi"/>
          <w:b/>
          <w:bCs/>
          <w:u w:val="single"/>
        </w:rPr>
        <w:t xml:space="preserve">III - </w:t>
      </w:r>
      <w:r w:rsidR="00CA7E1B" w:rsidRPr="00D0597D">
        <w:rPr>
          <w:rFonts w:ascii="Bookman Old Style" w:hAnsi="Bookman Old Style" w:cstheme="minorHAnsi"/>
          <w:b/>
          <w:bCs/>
          <w:u w:val="single"/>
        </w:rPr>
        <w:t>DA REALIDADE DOS FATOS</w:t>
      </w:r>
    </w:p>
    <w:p w14:paraId="5CD301BF" w14:textId="77777777" w:rsidR="00CA7E1B" w:rsidRPr="00D0597D" w:rsidRDefault="00CA7E1B" w:rsidP="00D0597D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25F6D3AE" w14:textId="4D45D033" w:rsidR="00CA7E1B" w:rsidRPr="00D0597D" w:rsidRDefault="00CA7E1B" w:rsidP="00D0597D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ab/>
      </w:r>
      <w:r w:rsidRPr="00D0597D">
        <w:rPr>
          <w:rFonts w:ascii="Bookman Old Style" w:hAnsi="Bookman Old Style" w:cstheme="minorHAnsi"/>
        </w:rPr>
        <w:tab/>
      </w:r>
      <w:r w:rsidRPr="00D0597D">
        <w:rPr>
          <w:rFonts w:ascii="Bookman Old Style" w:hAnsi="Bookman Old Style" w:cstheme="minorHAnsi"/>
        </w:rPr>
        <w:tab/>
        <w:t xml:space="preserve">Consoante reconhecido pela própria parte </w:t>
      </w:r>
      <w:r w:rsidR="00D0597D">
        <w:rPr>
          <w:rFonts w:ascii="Bookman Old Style" w:hAnsi="Bookman Old Style" w:cstheme="minorHAnsi"/>
        </w:rPr>
        <w:t>agravante</w:t>
      </w:r>
      <w:r w:rsidRPr="00D0597D">
        <w:rPr>
          <w:rFonts w:ascii="Bookman Old Style" w:hAnsi="Bookman Old Style" w:cstheme="minorHAnsi"/>
        </w:rPr>
        <w:t>, as partes celebraram contrato de mútuo com garantia fiduciária, no qual a parte contratante deliberadamente ofereceu o imóvel cujo registro consta dentre os documentos acostados à inicial, que por oportuno apresenta-se:</w:t>
      </w:r>
    </w:p>
    <w:p w14:paraId="09238525" w14:textId="77777777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32B78222" w14:textId="77777777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450813D7" w14:textId="77777777" w:rsidR="00CA7E1B" w:rsidRPr="00D0597D" w:rsidRDefault="00CA7E1B" w:rsidP="00D0597D">
      <w:pPr>
        <w:spacing w:before="200" w:after="200" w:line="240" w:lineRule="auto"/>
        <w:ind w:right="426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  <w:noProof/>
        </w:rPr>
        <w:lastRenderedPageBreak/>
        <w:drawing>
          <wp:inline distT="0" distB="0" distL="0" distR="0" wp14:anchorId="4C3B239B" wp14:editId="51824C3B">
            <wp:extent cx="5591175" cy="7508875"/>
            <wp:effectExtent l="0" t="0" r="9525" b="0"/>
            <wp:docPr id="1870961454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961454" name="Imagem 1" descr="Texto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50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EF80" w14:textId="77777777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0009FDE3" w14:textId="77777777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079922A0" w14:textId="77777777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18D1FC97" w14:textId="038A11FC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lastRenderedPageBreak/>
        <w:t xml:space="preserve">Outrossim, também conforme indicado pela própria parte </w:t>
      </w:r>
      <w:r w:rsidR="00D0597D">
        <w:rPr>
          <w:rFonts w:ascii="Bookman Old Style" w:hAnsi="Bookman Old Style" w:cstheme="minorHAnsi"/>
        </w:rPr>
        <w:t>agravante</w:t>
      </w:r>
      <w:r w:rsidRPr="00D0597D">
        <w:rPr>
          <w:rFonts w:ascii="Bookman Old Style" w:hAnsi="Bookman Old Style" w:cstheme="minorHAnsi"/>
        </w:rPr>
        <w:t xml:space="preserve">, trata-se de um imóvel PARA FINS COMERCIAIS, tendo sido </w:t>
      </w:r>
      <w:proofErr w:type="spellStart"/>
      <w:r w:rsidRPr="00D0597D">
        <w:rPr>
          <w:rFonts w:ascii="Bookman Old Style" w:hAnsi="Bookman Old Style" w:cstheme="minorHAnsi"/>
        </w:rPr>
        <w:t>esta</w:t>
      </w:r>
      <w:proofErr w:type="spellEnd"/>
      <w:r w:rsidRPr="00D0597D">
        <w:rPr>
          <w:rFonts w:ascii="Bookman Old Style" w:hAnsi="Bookman Old Style" w:cstheme="minorHAnsi"/>
        </w:rPr>
        <w:t xml:space="preserve"> a finalidade apresentada à Caixa Econômica Federal quando celebrado o pacto entre as partes.</w:t>
      </w:r>
    </w:p>
    <w:p w14:paraId="5E3DD4A5" w14:textId="77777777" w:rsidR="00D0597D" w:rsidRDefault="00D0597D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4AD3E3A1" w14:textId="62E09EED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>Assim sendo, não deve prosperar a alegação de impenhorabilidade/inalienabilidade do bem sob a justificativa de ser um bem de família, sobretudo por ser um imóvel de 2.400m² (Dois mil e quatrocentos metros quadrados), onde funcionava uma empresa de confecções, portanto, sem a proteção legal equivocadamente reivindicada.</w:t>
      </w:r>
    </w:p>
    <w:p w14:paraId="3DD068DC" w14:textId="77777777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F53A3CC" w14:textId="1F92E141" w:rsidR="00CA7E1B" w:rsidRPr="00D0597D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 xml:space="preserve">Assim sendo, resta clara a legitimidade do procedimento de execução extrajudicial que culminou na alienação fiduciária gravada no registro do imóvel, posto que o contrato foi celebrado deliberadamente pela parte </w:t>
      </w:r>
      <w:r w:rsidR="00D0597D">
        <w:rPr>
          <w:rFonts w:ascii="Bookman Old Style" w:hAnsi="Bookman Old Style" w:cstheme="minorHAnsi"/>
        </w:rPr>
        <w:t>agravante</w:t>
      </w:r>
      <w:r w:rsidRPr="00D0597D">
        <w:rPr>
          <w:rFonts w:ascii="Bookman Old Style" w:hAnsi="Bookman Old Style" w:cstheme="minorHAnsi"/>
        </w:rPr>
        <w:t xml:space="preserve"> e não há qualquer vício que possa lhe prejudicar.</w:t>
      </w:r>
    </w:p>
    <w:p w14:paraId="5D61D1EE" w14:textId="77777777" w:rsidR="00D0597D" w:rsidRDefault="00D0597D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46BFCE2F" w14:textId="60D848C3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D0597D">
        <w:rPr>
          <w:rFonts w:ascii="Bookman Old Style" w:hAnsi="Bookman Old Style" w:cstheme="minorHAnsi"/>
        </w:rPr>
        <w:t xml:space="preserve">Ademais, não é crível supor que um imóvel de 2.400m² (Dois mil e quatrocentos metros quadrados) onde funcionava uma confecção, dado </w:t>
      </w:r>
      <w:r w:rsidRPr="00CA7E1B">
        <w:rPr>
          <w:rFonts w:ascii="Bookman Old Style" w:hAnsi="Bookman Old Style" w:cstheme="minorHAnsi"/>
        </w:rPr>
        <w:t>livremente como garantia agora no momento de honrar a dívida em razão da inadimplência dos contratantes, seja apontado como “bem de família” na mais evidente tentativa de se eximir das suas obrigações. É, pois, eivada de má-fé a pretensão deduzida em juízo, a qual merece a reprimenda da lei, nos termos do art. 80, I, CPC.</w:t>
      </w:r>
    </w:p>
    <w:p w14:paraId="4755AB54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3C9A8F94" w14:textId="77777777" w:rsid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Temos, pois, um flagrante abuso do direito de propriedade, por algumas razões facilmente verificáveis. A um, o imóvel foi apresentado como DE FINS COMERCIAIS, onde funcionava a empresa de confecção dos autores. A dois, é impossível conceber que um terreno de 2.400 m² venha a servir como moradia, de modo a fazer jus à proteção legal de um legítimo “bem de família”.</w:t>
      </w:r>
    </w:p>
    <w:p w14:paraId="51B520EB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4252A957" w14:textId="453A1548" w:rsidR="00861713" w:rsidRDefault="00861713" w:rsidP="00861713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Noutro giro, muito acertados os fundamentos da decisão desses autos que não deram ao recurso o efeito suspensivo pleiteado, porquanto:</w:t>
      </w:r>
    </w:p>
    <w:p w14:paraId="59C976D2" w14:textId="77777777" w:rsidR="00861713" w:rsidRDefault="00861713" w:rsidP="00861713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694E9399" w14:textId="77777777" w:rsidR="00861713" w:rsidRDefault="00861713" w:rsidP="00861713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27543A96" w14:textId="77777777" w:rsidR="00861713" w:rsidRDefault="00861713" w:rsidP="00861713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0844201E" w14:textId="77777777" w:rsidR="00861713" w:rsidRDefault="00861713" w:rsidP="00861713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4BADF9DB" w14:textId="4894360E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>“</w:t>
      </w:r>
      <w:r w:rsidRPr="00861713">
        <w:rPr>
          <w:rFonts w:ascii="Bookman Old Style" w:hAnsi="Bookman Old Style" w:cstheme="minorHAnsi"/>
          <w:b/>
          <w:bCs/>
          <w:i/>
          <w:iCs/>
        </w:rPr>
        <w:t xml:space="preserve">2. Notificação dos Leilões O direito de preferência na aquisição do imóvel foi instituído pela </w:t>
      </w:r>
      <w:r w:rsidRPr="00861713">
        <w:rPr>
          <w:rFonts w:ascii="Bookman Old Style" w:hAnsi="Bookman Old Style" w:cstheme="minorHAnsi"/>
          <w:b/>
          <w:bCs/>
          <w:i/>
          <w:iCs/>
        </w:rPr>
        <w:lastRenderedPageBreak/>
        <w:t>Lei nº 13.465/2017, mediante acréscimo do § 2º-B ao art. 27 da Lei nº 9.514/97,</w:t>
      </w:r>
      <w:r w:rsidRPr="00861713">
        <w:rPr>
          <w:rFonts w:ascii="Bookman Old Style" w:hAnsi="Bookman Old Style" w:cstheme="minorHAnsi"/>
          <w:b/>
          <w:bCs/>
          <w:i/>
          <w:iCs/>
        </w:rPr>
        <w:t xml:space="preserve"> (...)</w:t>
      </w:r>
    </w:p>
    <w:p w14:paraId="6679EF9A" w14:textId="7E1D160C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>Contudo, impende ressalvar que, para as avenças celebradas antes da publicação da Lei n° 13.465/17, ocorrida na data de 11/07/2017 - a exemplo, portanto, do contrato inicialmente citado, firmado em 2013, consoante informou a parte autora -, tem-se entendido não haver necessidade de notificação da data da realização dos leilões.</w:t>
      </w:r>
    </w:p>
    <w:p w14:paraId="72F96E65" w14:textId="66072810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>(...)</w:t>
      </w:r>
    </w:p>
    <w:p w14:paraId="45CF0D91" w14:textId="25B4D1FE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 xml:space="preserve">3. Avaliação Alegam os demandantes que o imóvel possui valor muito superior ao da dívida apontada pela requerida, e que a avaliação por esta realizada estaria aquém do valor real, uma vez que desconsideradas as edificações realizadas no imóvel. Conforme se retira da matrícula apresentada, o imóvel em questão foi alienado fiduciariamente à CAIXA, como garantia ao cumprimento do contrato de empréstimo. Caberia aos autores </w:t>
      </w:r>
      <w:proofErr w:type="gramStart"/>
      <w:r w:rsidRPr="00861713">
        <w:rPr>
          <w:rFonts w:ascii="Bookman Old Style" w:hAnsi="Bookman Old Style" w:cstheme="minorHAnsi"/>
          <w:b/>
          <w:bCs/>
          <w:i/>
          <w:iCs/>
        </w:rPr>
        <w:t>notificar</w:t>
      </w:r>
      <w:proofErr w:type="gramEnd"/>
      <w:r w:rsidRPr="00861713">
        <w:rPr>
          <w:rFonts w:ascii="Bookman Old Style" w:hAnsi="Bookman Old Style" w:cstheme="minorHAnsi"/>
          <w:b/>
          <w:bCs/>
          <w:i/>
          <w:iCs/>
        </w:rPr>
        <w:t xml:space="preserve"> a CAIXA em relação às benfeitorias/edificações e providenciar as respectivas averbações junto à</w:t>
      </w:r>
      <w:r w:rsidRPr="00861713">
        <w:rPr>
          <w:rFonts w:ascii="Bookman Old Style" w:hAnsi="Bookman Old Style" w:cstheme="minorHAnsi"/>
          <w:b/>
          <w:bCs/>
          <w:i/>
          <w:iCs/>
        </w:rPr>
        <w:t xml:space="preserve"> </w:t>
      </w:r>
      <w:r w:rsidRPr="00861713">
        <w:rPr>
          <w:rFonts w:ascii="Bookman Old Style" w:hAnsi="Bookman Old Style" w:cstheme="minorHAnsi"/>
          <w:b/>
          <w:bCs/>
          <w:i/>
          <w:iCs/>
        </w:rPr>
        <w:t xml:space="preserve">matrícula do imóvel, o que não foi realizado. Vê-se, ainda, que, na descrição do imóvel a ser leiloado, foram mencionadas as construções, de uma casa e de um pavilhão (fl. 44 - evento 1, OUT4). </w:t>
      </w:r>
    </w:p>
    <w:p w14:paraId="17329417" w14:textId="56832CA4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>Referiu a parte autora que, em consulta ao site da CAIXA, que o imóvel foi avaliado em R$ 4.300,000,00, sendo R$ 2.795.000,00 o valor de venda previsto para o leilão.</w:t>
      </w:r>
      <w:r w:rsidRPr="00861713">
        <w:rPr>
          <w:rFonts w:ascii="Bookman Old Style" w:hAnsi="Bookman Old Style" w:cstheme="minorHAnsi"/>
          <w:b/>
          <w:bCs/>
          <w:i/>
          <w:iCs/>
        </w:rPr>
        <w:t>”</w:t>
      </w:r>
    </w:p>
    <w:p w14:paraId="521A642D" w14:textId="25A1C01A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>(...)</w:t>
      </w:r>
    </w:p>
    <w:p w14:paraId="53B19303" w14:textId="3FE8C53A" w:rsidR="00861713" w:rsidRPr="00861713" w:rsidRDefault="00861713" w:rsidP="00861713">
      <w:pPr>
        <w:spacing w:before="200" w:after="200" w:line="240" w:lineRule="auto"/>
        <w:ind w:left="2268" w:right="426" w:firstLine="1134"/>
        <w:jc w:val="both"/>
        <w:rPr>
          <w:rFonts w:ascii="Bookman Old Style" w:hAnsi="Bookman Old Style" w:cstheme="minorHAnsi"/>
          <w:b/>
          <w:bCs/>
          <w:i/>
          <w:iCs/>
        </w:rPr>
      </w:pPr>
      <w:r w:rsidRPr="00861713">
        <w:rPr>
          <w:rFonts w:ascii="Bookman Old Style" w:hAnsi="Bookman Old Style" w:cstheme="minorHAnsi"/>
          <w:b/>
          <w:bCs/>
          <w:i/>
          <w:iCs/>
        </w:rPr>
        <w:t>4. Impenhorabilidade do bem O alegado fato de o imóvel em tela servir de residência aos autores não impede a sua expropriação, uma vez que dado pelos devedores como garantia.</w:t>
      </w:r>
      <w:r w:rsidRPr="00861713">
        <w:rPr>
          <w:rFonts w:ascii="Bookman Old Style" w:hAnsi="Bookman Old Style" w:cstheme="minorHAnsi"/>
          <w:b/>
          <w:bCs/>
          <w:i/>
          <w:iCs/>
        </w:rPr>
        <w:t>”</w:t>
      </w:r>
    </w:p>
    <w:p w14:paraId="10830758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0DBD8800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Prosseguindo, além de não ser minimamente plausível considerar o imóvel cerne dessa lide como sendo “bem de família”, a parte autora sequer se desincumbiu em comprovar cabalmente que esse seria o único imóvel do núcleo familiar formado pelos autores e filhos, deixando, pois de arcar com o ônus probatório que lhe compete, nos termos do art. 373, I, CPC.</w:t>
      </w:r>
    </w:p>
    <w:p w14:paraId="3B1710FD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5BCEEE5C" w14:textId="77777777" w:rsidR="00861713" w:rsidRDefault="00861713" w:rsidP="00CA7E1B">
      <w:pPr>
        <w:spacing w:before="240" w:after="120" w:line="360" w:lineRule="atLeast"/>
        <w:ind w:right="426" w:firstLine="1134"/>
        <w:jc w:val="center"/>
        <w:rPr>
          <w:rFonts w:ascii="Bookman Old Style" w:eastAsia="Bookman Old Style" w:hAnsi="Bookman Old Style" w:cstheme="minorHAnsi"/>
          <w:b/>
          <w:bCs/>
          <w:u w:val="single"/>
        </w:rPr>
      </w:pPr>
    </w:p>
    <w:p w14:paraId="5849CCCD" w14:textId="34FECC74" w:rsidR="00861713" w:rsidRDefault="00683E18" w:rsidP="00CA7E1B">
      <w:pPr>
        <w:spacing w:before="240" w:after="120" w:line="360" w:lineRule="atLeast"/>
        <w:ind w:right="426" w:firstLine="1134"/>
        <w:jc w:val="center"/>
        <w:rPr>
          <w:rFonts w:ascii="Bookman Old Style" w:eastAsia="Bookman Old Style" w:hAnsi="Bookman Old Style" w:cstheme="minorHAnsi"/>
          <w:b/>
          <w:bCs/>
          <w:u w:val="single"/>
        </w:rPr>
      </w:pPr>
      <w:r>
        <w:rPr>
          <w:rFonts w:ascii="Bookman Old Style" w:eastAsia="Bookman Old Style" w:hAnsi="Bookman Old Style" w:cstheme="minorHAnsi"/>
          <w:b/>
          <w:bCs/>
          <w:u w:val="single"/>
        </w:rPr>
        <w:lastRenderedPageBreak/>
        <w:t xml:space="preserve">IV - </w:t>
      </w:r>
      <w:r w:rsidR="00861713">
        <w:rPr>
          <w:rFonts w:ascii="Bookman Old Style" w:eastAsia="Bookman Old Style" w:hAnsi="Bookman Old Style" w:cstheme="minorHAnsi"/>
          <w:b/>
          <w:bCs/>
          <w:u w:val="single"/>
        </w:rPr>
        <w:t>DA COISA JULGADA</w:t>
      </w:r>
    </w:p>
    <w:p w14:paraId="2AF38AAF" w14:textId="77777777" w:rsidR="00861713" w:rsidRDefault="00861713" w:rsidP="00CA7E1B">
      <w:pPr>
        <w:spacing w:before="240" w:after="120" w:line="360" w:lineRule="atLeast"/>
        <w:ind w:right="426" w:firstLine="1134"/>
        <w:jc w:val="center"/>
        <w:rPr>
          <w:rFonts w:ascii="Bookman Old Style" w:eastAsia="Bookman Old Style" w:hAnsi="Bookman Old Style" w:cstheme="minorHAnsi"/>
          <w:b/>
          <w:bCs/>
          <w:u w:val="single"/>
        </w:rPr>
      </w:pPr>
    </w:p>
    <w:p w14:paraId="3D7157C4" w14:textId="36C9355E" w:rsidR="00861713" w:rsidRDefault="00861713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>
        <w:rPr>
          <w:rFonts w:ascii="Bookman Old Style" w:eastAsia="Bookman Old Style" w:hAnsi="Bookman Old Style" w:cstheme="minorHAnsi"/>
        </w:rPr>
        <w:t xml:space="preserve">Consoante já informado alhures, a decisão que se busca ser novamente modificada, qual seja, A SUSPENSÃO DOS EFEITOS do leilão, já foi satisfatoriamente julgada, inclusive tendo a decisão transitada em julgado nos termos dos autos de nº </w:t>
      </w:r>
      <w:r w:rsidR="00683E18" w:rsidRPr="00683E18">
        <w:rPr>
          <w:rFonts w:ascii="Bookman Old Style" w:eastAsia="Bookman Old Style" w:hAnsi="Bookman Old Style" w:cstheme="minorHAnsi"/>
        </w:rPr>
        <w:t>5009447-69.2023.4.04.0000/RS</w:t>
      </w:r>
      <w:r w:rsidR="00683E18">
        <w:rPr>
          <w:rFonts w:ascii="Bookman Old Style" w:eastAsia="Bookman Old Style" w:hAnsi="Bookman Old Style" w:cstheme="minorHAnsi"/>
        </w:rPr>
        <w:t>. Pela pertinência, transcrevemos a ementa:</w:t>
      </w:r>
    </w:p>
    <w:p w14:paraId="445FE763" w14:textId="77777777" w:rsidR="00683E18" w:rsidRDefault="00683E18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66549763" w14:textId="77777777" w:rsidR="00683E18" w:rsidRDefault="00683E18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>
        <w:rPr>
          <w:rFonts w:ascii="Bookman Old Style" w:eastAsia="Bookman Old Style" w:hAnsi="Bookman Old Style" w:cstheme="minorHAnsi"/>
        </w:rPr>
        <w:t>“</w:t>
      </w:r>
      <w:r w:rsidRPr="00683E18">
        <w:rPr>
          <w:rFonts w:ascii="Bookman Old Style" w:eastAsia="Bookman Old Style" w:hAnsi="Bookman Old Style" w:cstheme="minorHAnsi"/>
        </w:rPr>
        <w:t xml:space="preserve">ADMINISTRATIVO. PROCESSUAL CIVIL. AGRAVO DE INSTRUMENTO. ALIENAÇÃO FIDUCIÁRIA. IMPENHORABILIDADE DE IMÓVEL. BEM DE FAMÍLIA. HIPÓTESE DE EXCEÇÃO. RECURSO DESPROVIDO. </w:t>
      </w:r>
    </w:p>
    <w:p w14:paraId="079DB58B" w14:textId="77777777" w:rsidR="00683E18" w:rsidRDefault="00683E18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683E18">
        <w:rPr>
          <w:rFonts w:ascii="Bookman Old Style" w:eastAsia="Bookman Old Style" w:hAnsi="Bookman Old Style" w:cstheme="minorHAnsi"/>
        </w:rPr>
        <w:t xml:space="preserve">1. Tendo sido firmado o contrato na modalidade de alienação fiduciária, enquanto não quitado o mutuário/fiduciante detém única e exclusivamente a posse direta do imóvel, não sendo dele proprietário. A posse indireta e a propriedade resolúvel são do agente fiduciário, sendo a condição resolutiva relacionada ao cumprimento de todas as previsões contratuais. </w:t>
      </w:r>
    </w:p>
    <w:p w14:paraId="670E56DE" w14:textId="605AF588" w:rsidR="00683E18" w:rsidRDefault="00683E18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683E18">
        <w:rPr>
          <w:rFonts w:ascii="Bookman Old Style" w:eastAsia="Bookman Old Style" w:hAnsi="Bookman Old Style" w:cstheme="minorHAnsi"/>
        </w:rPr>
        <w:t>2. Não se sustenta a alegação de que o bem não poderia servir de garantia, por absoluta impenhorabilidade, pois a jurisprudência tem considerado que a constituição voluntária em garantia pelo instituto da alienação fiduciária configura hipótese de exceção à proteção do bem de família, como no inciso V do artigo 3º da Lei nº 8.009/1990. Precedentes. 3. Agravo de instrumento desprovido.</w:t>
      </w:r>
      <w:r>
        <w:rPr>
          <w:rFonts w:ascii="Bookman Old Style" w:eastAsia="Bookman Old Style" w:hAnsi="Bookman Old Style" w:cstheme="minorHAnsi"/>
        </w:rPr>
        <w:t>”</w:t>
      </w:r>
    </w:p>
    <w:p w14:paraId="001618F7" w14:textId="77777777" w:rsidR="00683E18" w:rsidRDefault="00683E18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26A6F2B2" w14:textId="58E4524E" w:rsidR="00683E18" w:rsidRDefault="00683E18" w:rsidP="00861713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  <w:b/>
          <w:bCs/>
          <w:u w:val="single"/>
        </w:rPr>
      </w:pPr>
      <w:r>
        <w:rPr>
          <w:rFonts w:ascii="Bookman Old Style" w:eastAsia="Bookman Old Style" w:hAnsi="Bookman Old Style" w:cstheme="minorHAnsi"/>
        </w:rPr>
        <w:t>Destarte, não merece acolhida, além pelos fundamentos próprios do mérito, o fato de já ter havido COISA JULGADA MATERIAL acerca da decisão que reconheceu a legalidade do procedimento de execução extrajudicial, pelo qual ocorreu o leilão que indevidamente se busca invalidar. Portanto, não merece ser conhecido o agravo de instrumento ora contrarrazoado.</w:t>
      </w:r>
    </w:p>
    <w:p w14:paraId="72A1CAAE" w14:textId="77777777" w:rsidR="00861713" w:rsidRDefault="00861713" w:rsidP="00CA7E1B">
      <w:pPr>
        <w:spacing w:before="240" w:after="120" w:line="360" w:lineRule="atLeast"/>
        <w:ind w:right="426" w:firstLine="1134"/>
        <w:jc w:val="center"/>
        <w:rPr>
          <w:rFonts w:ascii="Bookman Old Style" w:eastAsia="Bookman Old Style" w:hAnsi="Bookman Old Style" w:cstheme="minorHAnsi"/>
          <w:b/>
          <w:bCs/>
          <w:u w:val="single"/>
        </w:rPr>
      </w:pPr>
    </w:p>
    <w:p w14:paraId="7EF37B18" w14:textId="6F808B76" w:rsidR="00CA7E1B" w:rsidRPr="00CA7E1B" w:rsidRDefault="00683E18" w:rsidP="00CA7E1B">
      <w:pPr>
        <w:spacing w:before="240" w:after="120" w:line="360" w:lineRule="atLeast"/>
        <w:ind w:right="426" w:firstLine="1134"/>
        <w:jc w:val="center"/>
        <w:rPr>
          <w:rFonts w:ascii="Bookman Old Style" w:eastAsia="Bookman Old Style" w:hAnsi="Bookman Old Style" w:cstheme="minorHAnsi"/>
          <w:u w:val="single"/>
        </w:rPr>
      </w:pPr>
      <w:r>
        <w:rPr>
          <w:rFonts w:ascii="Bookman Old Style" w:eastAsia="Bookman Old Style" w:hAnsi="Bookman Old Style" w:cstheme="minorHAnsi"/>
          <w:b/>
          <w:bCs/>
          <w:u w:val="single"/>
        </w:rPr>
        <w:lastRenderedPageBreak/>
        <w:t xml:space="preserve">V - </w:t>
      </w:r>
      <w:r w:rsidR="00CA7E1B" w:rsidRPr="00CA7E1B">
        <w:rPr>
          <w:rFonts w:ascii="Bookman Old Style" w:eastAsia="Bookman Old Style" w:hAnsi="Bookman Old Style" w:cstheme="minorHAnsi"/>
          <w:b/>
          <w:bCs/>
          <w:u w:val="single"/>
        </w:rPr>
        <w:t>DA CERTEZA, LIQUIDEZ E EXIGIBILIDADE DO TÍTULO EXTRAJUDICIAL</w:t>
      </w:r>
    </w:p>
    <w:p w14:paraId="5DC648F8" w14:textId="77777777" w:rsidR="00CA7E1B" w:rsidRP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> </w:t>
      </w:r>
    </w:p>
    <w:p w14:paraId="1AEA38AC" w14:textId="71230407" w:rsidR="00CA7E1B" w:rsidRP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 xml:space="preserve">Evidente que não há cabimento nos argumentos levantados </w:t>
      </w:r>
      <w:proofErr w:type="gramStart"/>
      <w:r w:rsidR="00D0597D">
        <w:rPr>
          <w:rFonts w:ascii="Bookman Old Style" w:eastAsia="Bookman Old Style" w:hAnsi="Bookman Old Style" w:cstheme="minorHAnsi"/>
        </w:rPr>
        <w:t>pelos agravante</w:t>
      </w:r>
      <w:proofErr w:type="gramEnd"/>
      <w:r w:rsidRPr="00CA7E1B">
        <w:rPr>
          <w:rFonts w:ascii="Bookman Old Style" w:eastAsia="Bookman Old Style" w:hAnsi="Bookman Old Style" w:cstheme="minorHAnsi"/>
        </w:rPr>
        <w:t>, visto que a execução extrajudicial que a parte indevidamente tenta obstar foi instruída com documentos comprobatórios suficientes para o prosseguimento da execução, bem como os valores cobrados foram especificados no procedimento cartorário, não havendo o que se questionar quanto a isso.</w:t>
      </w:r>
    </w:p>
    <w:p w14:paraId="268CEB83" w14:textId="77777777" w:rsidR="00CA7E1B" w:rsidRP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69BD11BC" w14:textId="2D330BBF" w:rsidR="00CA7E1B" w:rsidRPr="00CA7E1B" w:rsidRDefault="00D0597D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>
        <w:rPr>
          <w:rFonts w:ascii="Bookman Old Style" w:eastAsia="Bookman Old Style" w:hAnsi="Bookman Old Style" w:cstheme="minorHAnsi"/>
        </w:rPr>
        <w:t>Doutos julgadores</w:t>
      </w:r>
      <w:r w:rsidR="00CA7E1B" w:rsidRPr="00CA7E1B">
        <w:rPr>
          <w:rFonts w:ascii="Bookman Old Style" w:eastAsia="Bookman Old Style" w:hAnsi="Bookman Old Style" w:cstheme="minorHAnsi"/>
        </w:rPr>
        <w:t xml:space="preserve">, ao contrário do que tenta fazer crer a parte </w:t>
      </w:r>
      <w:r>
        <w:rPr>
          <w:rFonts w:ascii="Bookman Old Style" w:eastAsia="Bookman Old Style" w:hAnsi="Bookman Old Style" w:cstheme="minorHAnsi"/>
        </w:rPr>
        <w:t>agravante</w:t>
      </w:r>
      <w:r w:rsidR="00CA7E1B" w:rsidRPr="00CA7E1B">
        <w:rPr>
          <w:rFonts w:ascii="Bookman Old Style" w:eastAsia="Bookman Old Style" w:hAnsi="Bookman Old Style" w:cstheme="minorHAnsi"/>
        </w:rPr>
        <w:t xml:space="preserve">, o título executado extrajudicialmente está fundado num documento hábil, celebrado por pessoas capazes, onde a parte autora, a fim de obter o empréstimo que necessitava, deu em garantia o imóvel comercial onde funciona sua confecção. Ou seja, não há nenhum vício do consentimento que possa invalidar o contrato que é lei entre as partes – </w:t>
      </w:r>
      <w:r w:rsidR="00CA7E1B" w:rsidRPr="00CA7E1B">
        <w:rPr>
          <w:rFonts w:ascii="Bookman Old Style" w:eastAsia="Bookman Old Style" w:hAnsi="Bookman Old Style" w:cstheme="minorHAnsi"/>
          <w:i/>
          <w:iCs/>
        </w:rPr>
        <w:t>pacta sunt servanda</w:t>
      </w:r>
      <w:r w:rsidR="00CA7E1B" w:rsidRPr="00CA7E1B">
        <w:rPr>
          <w:rFonts w:ascii="Bookman Old Style" w:eastAsia="Bookman Old Style" w:hAnsi="Bookman Old Style" w:cstheme="minorHAnsi"/>
        </w:rPr>
        <w:t>.</w:t>
      </w:r>
    </w:p>
    <w:p w14:paraId="01D6602E" w14:textId="77777777" w:rsidR="00D0597D" w:rsidRDefault="00D0597D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155E5A8D" w14:textId="1A567515" w:rsid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 xml:space="preserve">Trata-se de típico contrato de adesão epistolar, e a proposta livremente assinada torna claro que a proponente teve ciência das Condições Gerais mencionadas, e que se comprometeu a cumpri-las, inclusive com ciência da perda do imóvel dado em garantia na hipótese de inadimplência. </w:t>
      </w:r>
    </w:p>
    <w:p w14:paraId="2D13BC38" w14:textId="77777777" w:rsidR="00D0597D" w:rsidRPr="00CA7E1B" w:rsidRDefault="00D0597D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5FC4935C" w14:textId="512A7808" w:rsidR="00CA7E1B" w:rsidRP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 xml:space="preserve">Assim sendo, considerando a inexistência de qualquer vício que pudesse macular o contrato que serviu como título executado extrajudicialmente, não merece prosperar o pedido da parte autora referente à nulidade do procedimento extrajudicial de execução, devendo assim ser </w:t>
      </w:r>
      <w:r w:rsidR="00861713">
        <w:rPr>
          <w:rFonts w:ascii="Bookman Old Style" w:eastAsia="Bookman Old Style" w:hAnsi="Bookman Old Style" w:cstheme="minorHAnsi"/>
        </w:rPr>
        <w:t>dado prosseguimento à alienação definitiva para fins de satisfação do débito</w:t>
      </w:r>
      <w:r w:rsidRPr="00CA7E1B">
        <w:rPr>
          <w:rFonts w:ascii="Bookman Old Style" w:eastAsia="Bookman Old Style" w:hAnsi="Bookman Old Style" w:cstheme="minorHAnsi"/>
        </w:rPr>
        <w:t>.</w:t>
      </w:r>
    </w:p>
    <w:p w14:paraId="13561CD9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699D5DF0" w14:textId="77777777" w:rsid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53CB58ED" w14:textId="77777777" w:rsidR="00D0597D" w:rsidRDefault="00D0597D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3D13BFA5" w14:textId="77777777" w:rsidR="00D0597D" w:rsidRDefault="00D0597D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124A294F" w14:textId="77777777" w:rsidR="00D0597D" w:rsidRPr="00CA7E1B" w:rsidRDefault="00D0597D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5529A75D" w14:textId="4CF3B576" w:rsidR="00CA7E1B" w:rsidRPr="00CA7E1B" w:rsidRDefault="00683E18" w:rsidP="00CA7E1B">
      <w:pPr>
        <w:spacing w:before="200" w:after="200" w:line="240" w:lineRule="auto"/>
        <w:ind w:right="426" w:firstLine="1134"/>
        <w:jc w:val="center"/>
        <w:rPr>
          <w:rFonts w:ascii="Bookman Old Style" w:eastAsia="Bookman Old Style" w:hAnsi="Bookman Old Style" w:cstheme="minorHAnsi"/>
          <w:b/>
          <w:bCs/>
        </w:rPr>
      </w:pPr>
      <w:r>
        <w:rPr>
          <w:rFonts w:ascii="Bookman Old Style" w:eastAsia="Bookman Old Style" w:hAnsi="Bookman Old Style" w:cstheme="minorHAnsi"/>
          <w:b/>
          <w:bCs/>
        </w:rPr>
        <w:t xml:space="preserve">VI - </w:t>
      </w:r>
      <w:r w:rsidR="00CA7E1B" w:rsidRPr="00CA7E1B">
        <w:rPr>
          <w:rFonts w:ascii="Bookman Old Style" w:eastAsia="Bookman Old Style" w:hAnsi="Bookman Old Style" w:cstheme="minorHAnsi"/>
          <w:b/>
          <w:bCs/>
        </w:rPr>
        <w:t>DO ABUSO DO DIREITO DE PROTEÇÃO AO BEM DE FAMÍLIA</w:t>
      </w:r>
    </w:p>
    <w:p w14:paraId="3A067932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  <w:b/>
          <w:bCs/>
        </w:rPr>
      </w:pPr>
    </w:p>
    <w:p w14:paraId="256447E9" w14:textId="3E5EC472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 xml:space="preserve">Conforme já informado no bojo desta defesa, bem como o que consta da própria petição inicial, a parte </w:t>
      </w:r>
      <w:r w:rsidR="00861713">
        <w:rPr>
          <w:rFonts w:ascii="Bookman Old Style" w:eastAsia="Bookman Old Style" w:hAnsi="Bookman Old Style" w:cstheme="minorHAnsi"/>
        </w:rPr>
        <w:t>agravante</w:t>
      </w:r>
      <w:r w:rsidRPr="00CA7E1B">
        <w:rPr>
          <w:rFonts w:ascii="Bookman Old Style" w:eastAsia="Bookman Old Style" w:hAnsi="Bookman Old Style" w:cstheme="minorHAnsi"/>
        </w:rPr>
        <w:t xml:space="preserve"> busca o desfazimento da execução extrajudicial onde houve a alienação fiduciária do imóvel dado como garantia ao contato inadimplido, sob a justificativa de se tratar de um bem de família, portanto, impenhorável.</w:t>
      </w:r>
    </w:p>
    <w:p w14:paraId="126F5C12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132779D5" w14:textId="54A3292C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 xml:space="preserve">Ocorre que restou devidamente evidenciado nos autos que o imóvel servia sobejamente para FINS COMERCIAIS. Eis que se trata de um imóvel de vultuosa dimensão onde abrigava precipuamente a confecção </w:t>
      </w:r>
      <w:proofErr w:type="spellStart"/>
      <w:r w:rsidRPr="00CA7E1B">
        <w:rPr>
          <w:rFonts w:ascii="Bookman Old Style" w:eastAsia="Bookman Old Style" w:hAnsi="Bookman Old Style" w:cstheme="minorHAnsi"/>
        </w:rPr>
        <w:t>Kalusca</w:t>
      </w:r>
      <w:proofErr w:type="spellEnd"/>
      <w:r w:rsidRPr="00CA7E1B">
        <w:rPr>
          <w:rFonts w:ascii="Bookman Old Style" w:eastAsia="Bookman Old Style" w:hAnsi="Bookman Old Style" w:cstheme="minorHAnsi"/>
        </w:rPr>
        <w:t xml:space="preserve"> Ltda, inscrita no CNPJ sob nº 89.997.506/0001-20, não sendo a função preponderante do terreno funcionar como lar dos autores.</w:t>
      </w:r>
    </w:p>
    <w:p w14:paraId="100773E4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6C799F17" w14:textId="552BE545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>Ademais, conforme constou no procedimento de execução extrajudicial, indicado também na exordial, o bem foi avaliado em R$ 4.300.000,00, de modo que sua venda viria satisfazer o crédito da Caixa Econômica Federal, bem como viabilizaria ser adquirido um imóvel digno à família.</w:t>
      </w:r>
    </w:p>
    <w:p w14:paraId="5503F9CA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10D936D6" w14:textId="08F5B3EB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>Assim sendo, é flagrante a necessidade de se reconhecer a perda da tutela jurídica do bem de família conferida pela Lei 8.009/90 por abuso do direito, mormente de não ser legítimo e moral conceber que um imóvel avaliado em R$ 4.300.000,00 (Quatro milhões e trezentos mil reais) DADO COMO GARANTIA DE CONTRATO DE MÚTUO COM CLÁUSULA DE ALIENAÇÃO FIDUCIÁRIA, possa permanecer sob o amparo da proteção do bem de família, vez que traria uma situação de enriquecimento sem causa, desvirtuando a mens legis.</w:t>
      </w:r>
    </w:p>
    <w:p w14:paraId="78195E6B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56897DA9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5D143CF8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360D66AE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2EC96CAC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35539566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5F45918F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6944537B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1FC6B198" w14:textId="77777777" w:rsidR="00861713" w:rsidRDefault="00861713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0048354C" w14:textId="7D437404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lastRenderedPageBreak/>
        <w:t>Nesse sentido entendeu a Corte Cidadã:</w:t>
      </w:r>
    </w:p>
    <w:p w14:paraId="6D3152FD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18499E76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5B50E1F8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48F9BD69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  <w:noProof/>
        </w:rPr>
        <w:drawing>
          <wp:inline distT="0" distB="0" distL="0" distR="0" wp14:anchorId="757EDF0A" wp14:editId="1F3F71C1">
            <wp:extent cx="4237990" cy="6010910"/>
            <wp:effectExtent l="0" t="0" r="0" b="8890"/>
            <wp:docPr id="1406886694" name="Imagem 2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886694" name="Imagem 2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601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44893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eastAsia="Bookman Old Style" w:hAnsi="Bookman Old Style" w:cstheme="minorHAnsi"/>
        </w:rPr>
      </w:pPr>
    </w:p>
    <w:p w14:paraId="63C10AAA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FC2FEBC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6B37079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  <w:noProof/>
        </w:rPr>
        <w:lastRenderedPageBreak/>
        <w:drawing>
          <wp:inline distT="0" distB="0" distL="0" distR="0" wp14:anchorId="5FFBBAF9" wp14:editId="5740D5B2">
            <wp:extent cx="4667250" cy="5843905"/>
            <wp:effectExtent l="0" t="0" r="0" b="4445"/>
            <wp:docPr id="871328186" name="Imagem 3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28186" name="Imagem 3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84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ECDAA" w14:textId="77777777" w:rsidR="00CA7E1B" w:rsidRP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  <w:b/>
          <w:bCs/>
        </w:rPr>
      </w:pPr>
    </w:p>
    <w:p w14:paraId="5054C866" w14:textId="38ED4562" w:rsidR="00CA7E1B" w:rsidRP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 w:rsidRPr="00CA7E1B">
        <w:rPr>
          <w:rFonts w:ascii="Bookman Old Style" w:eastAsia="Bookman Old Style" w:hAnsi="Bookman Old Style" w:cstheme="minorHAnsi"/>
        </w:rPr>
        <w:t xml:space="preserve">Assim sendo, por tudo o que foi exposto, notadamente o abuso do direito de proteção ao bem de família, bem como a legitimidade do título executivo formado pela inadimplência do contrato, </w:t>
      </w:r>
      <w:r w:rsidR="00861713">
        <w:rPr>
          <w:rFonts w:ascii="Bookman Old Style" w:eastAsia="Bookman Old Style" w:hAnsi="Bookman Old Style" w:cstheme="minorHAnsi"/>
        </w:rPr>
        <w:t>a manutenção da decisão agravada</w:t>
      </w:r>
      <w:r w:rsidRPr="00CA7E1B">
        <w:rPr>
          <w:rFonts w:ascii="Bookman Old Style" w:eastAsia="Bookman Old Style" w:hAnsi="Bookman Old Style" w:cstheme="minorHAnsi"/>
        </w:rPr>
        <w:t xml:space="preserve"> é medida que se impõe.</w:t>
      </w:r>
    </w:p>
    <w:p w14:paraId="5F98E27F" w14:textId="77777777" w:rsidR="00CA7E1B" w:rsidRDefault="00CA7E1B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  <w:b/>
          <w:bCs/>
        </w:rPr>
      </w:pPr>
    </w:p>
    <w:p w14:paraId="5FFEFD45" w14:textId="77777777" w:rsidR="00861713" w:rsidRDefault="00861713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  <w:b/>
          <w:bCs/>
        </w:rPr>
      </w:pPr>
    </w:p>
    <w:p w14:paraId="489F8090" w14:textId="77777777" w:rsidR="00861713" w:rsidRPr="00CA7E1B" w:rsidRDefault="00861713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  <w:b/>
          <w:bCs/>
        </w:rPr>
      </w:pPr>
    </w:p>
    <w:p w14:paraId="0735FC21" w14:textId="67FF51CC" w:rsidR="00CA7E1B" w:rsidRPr="00CA7E1B" w:rsidRDefault="00683E18" w:rsidP="00CA7E1B">
      <w:pPr>
        <w:spacing w:before="240" w:after="120" w:line="360" w:lineRule="atLeast"/>
        <w:ind w:right="426" w:firstLine="1134"/>
        <w:jc w:val="both"/>
        <w:rPr>
          <w:rFonts w:ascii="Bookman Old Style" w:eastAsia="Bookman Old Style" w:hAnsi="Bookman Old Style" w:cstheme="minorHAnsi"/>
        </w:rPr>
      </w:pPr>
      <w:r>
        <w:rPr>
          <w:rFonts w:ascii="Bookman Old Style" w:eastAsia="Bookman Old Style" w:hAnsi="Bookman Old Style" w:cstheme="minorHAnsi"/>
          <w:b/>
          <w:bCs/>
        </w:rPr>
        <w:t xml:space="preserve">VII - </w:t>
      </w:r>
      <w:r w:rsidR="00CA7E1B" w:rsidRPr="00CA7E1B">
        <w:rPr>
          <w:rFonts w:ascii="Bookman Old Style" w:eastAsia="Bookman Old Style" w:hAnsi="Bookman Old Style" w:cstheme="minorHAnsi"/>
          <w:b/>
          <w:bCs/>
        </w:rPr>
        <w:t xml:space="preserve">DA AUSÊNCIA DE PROVA DE ÚNICO IMÓVEL DO NÚCLEO FAMILIAR – ART. 373, I, CPC </w:t>
      </w:r>
    </w:p>
    <w:p w14:paraId="3D16373C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1851C9F2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Sem prejuízo de todas as argumentações que afastam de modo inequívoco o amparo a um legítimo bem de família ao imóvel da parte autora dado como garantia a um contrato de mútuo, percebemos que os demandantes sequer se desincumbiram do seu ônus probatório, nos termos do art. 373, I, CPC.</w:t>
      </w:r>
    </w:p>
    <w:p w14:paraId="14BD17E4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373F58D6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É comezinho o conhecimento que o requisito mínimo – sem prejuízo de outras análises – para concessão do status legal de “bem de família” a um imóvel, é que este seja o ÚNICO do núcleo familiar, consoante estipula a Lei 8.009/90.</w:t>
      </w:r>
    </w:p>
    <w:p w14:paraId="143FD81F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052D096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Ocorre que a parte autora sequer demonstrou cabalmente que nenhum dos integrantes do núcleo familiar possuem outro imóvel, afastando daquele gravado – adequada e legitimamente – pela alienação fiduciária de forma definitiva do amparo dado a um real bem de família.</w:t>
      </w:r>
    </w:p>
    <w:p w14:paraId="3418F497" w14:textId="7777777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3C6C267D" w14:textId="6995DD57" w:rsidR="00CA7E1B" w:rsidRPr="00CA7E1B" w:rsidRDefault="00CA7E1B" w:rsidP="00CA7E1B">
      <w:pPr>
        <w:spacing w:before="200" w:after="200" w:line="24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 xml:space="preserve">Portanto, tendo em vista a inobservância do art. 373, I, de modo que a parte autora não comprovou o fato constitutivo de seu direito, deve ser </w:t>
      </w:r>
      <w:r w:rsidR="00861713">
        <w:rPr>
          <w:rFonts w:ascii="Bookman Old Style" w:hAnsi="Bookman Old Style" w:cstheme="minorHAnsi"/>
        </w:rPr>
        <w:t>mantida a decisão agravada</w:t>
      </w:r>
      <w:r w:rsidRPr="00CA7E1B">
        <w:rPr>
          <w:rFonts w:ascii="Bookman Old Style" w:hAnsi="Bookman Old Style" w:cstheme="minorHAnsi"/>
        </w:rPr>
        <w:t>.</w:t>
      </w:r>
    </w:p>
    <w:p w14:paraId="1C0D56E3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  <w:b/>
        </w:rPr>
      </w:pPr>
    </w:p>
    <w:p w14:paraId="46CB1543" w14:textId="2776E033" w:rsidR="00CA7E1B" w:rsidRPr="00CA7E1B" w:rsidRDefault="00683E18" w:rsidP="00CA7E1B">
      <w:pPr>
        <w:spacing w:line="360" w:lineRule="auto"/>
        <w:ind w:right="426" w:firstLine="1134"/>
        <w:jc w:val="center"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 xml:space="preserve">VIII - </w:t>
      </w:r>
      <w:r w:rsidR="00CA7E1B" w:rsidRPr="00CA7E1B">
        <w:rPr>
          <w:rFonts w:ascii="Bookman Old Style" w:hAnsi="Bookman Old Style" w:cstheme="minorHAnsi"/>
          <w:b/>
        </w:rPr>
        <w:t>DA INAPLICABILIDADE DO CÓDIGO DE DEFESA DO CONSUMIDOR</w:t>
      </w:r>
    </w:p>
    <w:p w14:paraId="77FB7A29" w14:textId="77777777" w:rsidR="00CA7E1B" w:rsidRPr="00CA7E1B" w:rsidRDefault="00CA7E1B" w:rsidP="00CA7E1B">
      <w:pPr>
        <w:spacing w:line="360" w:lineRule="auto"/>
        <w:ind w:right="426" w:firstLine="1134"/>
        <w:jc w:val="center"/>
        <w:rPr>
          <w:rFonts w:ascii="Bookman Old Style" w:hAnsi="Bookman Old Style" w:cstheme="minorHAnsi"/>
          <w:b/>
        </w:rPr>
      </w:pPr>
      <w:r w:rsidRPr="00CA7E1B">
        <w:rPr>
          <w:rFonts w:ascii="Bookman Old Style" w:hAnsi="Bookman Old Style" w:cstheme="minorHAnsi"/>
          <w:b/>
        </w:rPr>
        <w:t>- DA NÃO INVERSÃO DO ÔNUS DA PROVA -</w:t>
      </w:r>
    </w:p>
    <w:p w14:paraId="058A7A66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2C864624" w14:textId="77777777" w:rsidR="00CA7E1B" w:rsidRPr="00CA7E1B" w:rsidRDefault="00CA7E1B" w:rsidP="00CA7E1B">
      <w:pPr>
        <w:pStyle w:val="Corpodetexto"/>
        <w:spacing w:line="360" w:lineRule="auto"/>
        <w:ind w:right="426" w:firstLine="1134"/>
        <w:rPr>
          <w:rFonts w:ascii="Bookman Old Style" w:hAnsi="Bookman Old Style" w:cstheme="minorHAnsi"/>
          <w:b/>
          <w:bCs/>
          <w:sz w:val="22"/>
          <w:szCs w:val="22"/>
        </w:rPr>
      </w:pPr>
      <w:r w:rsidRPr="00CA7E1B">
        <w:rPr>
          <w:rFonts w:ascii="Bookman Old Style" w:hAnsi="Bookman Old Style" w:cstheme="minorHAnsi"/>
          <w:b/>
          <w:bCs/>
          <w:sz w:val="22"/>
          <w:szCs w:val="22"/>
          <w:highlight w:val="yellow"/>
        </w:rPr>
        <w:t>O Código de Defesa do Consumidor - CDC não é aplicável à relação contratual em comento, eis que a CAIXA,</w:t>
      </w:r>
      <w:r w:rsidRPr="00CA7E1B">
        <w:rPr>
          <w:rFonts w:ascii="Bookman Old Style" w:hAnsi="Bookman Old Style" w:cstheme="minorHAnsi"/>
          <w:b/>
          <w:bCs/>
          <w:i/>
          <w:sz w:val="22"/>
          <w:szCs w:val="22"/>
          <w:highlight w:val="yellow"/>
        </w:rPr>
        <w:t xml:space="preserve"> in </w:t>
      </w:r>
      <w:proofErr w:type="spellStart"/>
      <w:r w:rsidRPr="00CA7E1B">
        <w:rPr>
          <w:rFonts w:ascii="Bookman Old Style" w:hAnsi="Bookman Old Style" w:cstheme="minorHAnsi"/>
          <w:b/>
          <w:bCs/>
          <w:i/>
          <w:sz w:val="22"/>
          <w:szCs w:val="22"/>
          <w:highlight w:val="yellow"/>
        </w:rPr>
        <w:t>casu</w:t>
      </w:r>
      <w:proofErr w:type="spellEnd"/>
      <w:r w:rsidRPr="00CA7E1B">
        <w:rPr>
          <w:rFonts w:ascii="Bookman Old Style" w:hAnsi="Bookman Old Style" w:cstheme="minorHAnsi"/>
          <w:b/>
          <w:bCs/>
          <w:sz w:val="22"/>
          <w:szCs w:val="22"/>
          <w:highlight w:val="yellow"/>
        </w:rPr>
        <w:t>, não atua como fornecedora de produtos nem prestadora de serviços, mas intermediadora de crédito, tudo conforme previsto em legislação específica.</w:t>
      </w:r>
    </w:p>
    <w:p w14:paraId="363D9790" w14:textId="77777777" w:rsidR="00CA7E1B" w:rsidRPr="00CA7E1B" w:rsidRDefault="00CA7E1B" w:rsidP="00CA7E1B">
      <w:pPr>
        <w:tabs>
          <w:tab w:val="left" w:pos="3119"/>
        </w:tabs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3EC49E6" w14:textId="77777777" w:rsidR="00CA7E1B" w:rsidRPr="00CA7E1B" w:rsidRDefault="00CA7E1B" w:rsidP="00CA7E1B">
      <w:pPr>
        <w:pStyle w:val="Corpodetexto"/>
        <w:spacing w:line="360" w:lineRule="auto"/>
        <w:ind w:right="426" w:firstLine="1134"/>
        <w:rPr>
          <w:rFonts w:ascii="Bookman Old Style" w:hAnsi="Bookman Old Style" w:cstheme="minorHAnsi"/>
          <w:sz w:val="22"/>
          <w:szCs w:val="22"/>
        </w:rPr>
      </w:pPr>
    </w:p>
    <w:p w14:paraId="4ADBED8C" w14:textId="77777777" w:rsidR="00CA7E1B" w:rsidRPr="00CA7E1B" w:rsidRDefault="00CA7E1B" w:rsidP="00CA7E1B">
      <w:pPr>
        <w:pStyle w:val="Corpodetexto"/>
        <w:spacing w:line="360" w:lineRule="auto"/>
        <w:ind w:right="426" w:firstLine="1134"/>
        <w:rPr>
          <w:rFonts w:ascii="Bookman Old Style" w:hAnsi="Bookman Old Style" w:cstheme="minorHAnsi"/>
          <w:sz w:val="22"/>
          <w:szCs w:val="22"/>
        </w:rPr>
      </w:pPr>
      <w:r w:rsidRPr="00CA7E1B">
        <w:rPr>
          <w:rFonts w:ascii="Bookman Old Style" w:hAnsi="Bookman Old Style" w:cstheme="minorHAnsi"/>
          <w:sz w:val="22"/>
          <w:szCs w:val="22"/>
        </w:rPr>
        <w:lastRenderedPageBreak/>
        <w:t>Considerando-se que moeda não é produto, mas apenas instrumento representativo e qualificativo do trabalho, tido pelos economistas como a expressão simbólica da produção, o dinheiro não se presta a outra coisa que não à facilitação da realização dos negócios, à obtenção de riquezas, a remuneração de serviços etc.</w:t>
      </w:r>
    </w:p>
    <w:p w14:paraId="7234EA66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73114363" w14:textId="77777777" w:rsidR="00CA7E1B" w:rsidRPr="00CA7E1B" w:rsidRDefault="00CA7E1B" w:rsidP="00CA7E1B">
      <w:pPr>
        <w:tabs>
          <w:tab w:val="left" w:pos="2268"/>
        </w:tabs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 xml:space="preserve">Atento a esta consideração, ARNOLD WALD, em parecer publicado </w:t>
      </w:r>
      <w:r w:rsidRPr="00CA7E1B">
        <w:rPr>
          <w:rFonts w:ascii="Bookman Old Style" w:hAnsi="Bookman Old Style" w:cstheme="minorHAnsi"/>
          <w:i/>
        </w:rPr>
        <w:t>in</w:t>
      </w:r>
      <w:r w:rsidRPr="00CA7E1B">
        <w:rPr>
          <w:rFonts w:ascii="Bookman Old Style" w:hAnsi="Bookman Old Style" w:cstheme="minorHAnsi"/>
        </w:rPr>
        <w:t xml:space="preserve"> RT 666/71, leciona:</w:t>
      </w:r>
    </w:p>
    <w:p w14:paraId="78532260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285AAEFE" w14:textId="77777777" w:rsidR="00CA7E1B" w:rsidRPr="00CA7E1B" w:rsidRDefault="00CA7E1B" w:rsidP="00CA7E1B">
      <w:pPr>
        <w:pStyle w:val="citao"/>
        <w:tabs>
          <w:tab w:val="clear" w:pos="2268"/>
        </w:tabs>
        <w:spacing w:line="360" w:lineRule="auto"/>
        <w:ind w:left="0" w:right="426" w:firstLine="1134"/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</w:pPr>
      <w:r w:rsidRPr="00CA7E1B"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  <w:t xml:space="preserve">"Assim sendo, entre os produtos referidos no art. 2º da Lei 8.078 não se incluem nem o dinheiro nem o crédito. </w:t>
      </w:r>
    </w:p>
    <w:p w14:paraId="39F81254" w14:textId="77777777" w:rsidR="00CA7E1B" w:rsidRPr="00CA7E1B" w:rsidRDefault="00CA7E1B" w:rsidP="00CA7E1B">
      <w:pPr>
        <w:pStyle w:val="citao"/>
        <w:tabs>
          <w:tab w:val="clear" w:pos="2268"/>
        </w:tabs>
        <w:spacing w:line="360" w:lineRule="auto"/>
        <w:ind w:left="0" w:right="426" w:firstLine="1134"/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</w:pPr>
      <w:r w:rsidRPr="00CA7E1B"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  <w:t>(...)</w:t>
      </w:r>
    </w:p>
    <w:p w14:paraId="7CE3E200" w14:textId="77777777" w:rsidR="00CA7E1B" w:rsidRPr="00CA7E1B" w:rsidRDefault="00CA7E1B" w:rsidP="00CA7E1B">
      <w:pPr>
        <w:pStyle w:val="citao"/>
        <w:tabs>
          <w:tab w:val="clear" w:pos="2268"/>
        </w:tabs>
        <w:spacing w:line="360" w:lineRule="auto"/>
        <w:ind w:left="0" w:right="426" w:firstLine="1134"/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</w:pPr>
      <w:r w:rsidRPr="00CA7E1B"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  <w:t xml:space="preserve">Efetivamente, a entrega de dinheiro sob qualquer forma (mútuo, desconto etc.) ou a promessa de entrega do mesmo, ao contratante ou a terceiro, </w:t>
      </w:r>
      <w:r w:rsidRPr="00CA7E1B">
        <w:rPr>
          <w:rFonts w:ascii="Bookman Old Style" w:hAnsi="Bookman Old Style" w:cstheme="minorHAnsi"/>
          <w:bCs/>
          <w:i w:val="0"/>
          <w:iCs/>
          <w:sz w:val="22"/>
          <w:szCs w:val="22"/>
        </w:rPr>
        <w:t>não constitui aquisição de produto</w:t>
      </w:r>
      <w:r w:rsidRPr="00CA7E1B">
        <w:rPr>
          <w:rFonts w:ascii="Bookman Old Style" w:hAnsi="Bookman Old Style" w:cstheme="minorHAnsi"/>
          <w:b w:val="0"/>
          <w:bCs/>
          <w:i w:val="0"/>
          <w:iCs/>
          <w:sz w:val="22"/>
          <w:szCs w:val="22"/>
        </w:rPr>
        <w:t xml:space="preserve"> (bem móvel ou imóvel) pelo destinatário final, pois pela sua própria natureza a moeda circula e só constituiria operação com o destinatário final se se tratasse de um colecionador de moedas que não as transferisse a terceiros, hipótese suficientemente excepcional para que não se possa generalizá-la (g.n)”</w:t>
      </w:r>
    </w:p>
    <w:p w14:paraId="4D6210C3" w14:textId="77777777" w:rsidR="00CA7E1B" w:rsidRPr="00CA7E1B" w:rsidRDefault="00CA7E1B" w:rsidP="00CA7E1B">
      <w:pPr>
        <w:pStyle w:val="citao"/>
        <w:tabs>
          <w:tab w:val="clear" w:pos="2268"/>
        </w:tabs>
        <w:spacing w:line="360" w:lineRule="auto"/>
        <w:ind w:left="0" w:right="426" w:firstLine="1134"/>
        <w:rPr>
          <w:rFonts w:ascii="Bookman Old Style" w:hAnsi="Bookman Old Style" w:cstheme="minorHAnsi"/>
          <w:b w:val="0"/>
          <w:i w:val="0"/>
          <w:iCs/>
          <w:sz w:val="22"/>
          <w:szCs w:val="22"/>
        </w:rPr>
      </w:pPr>
    </w:p>
    <w:p w14:paraId="4629DEEF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Impende registrar que em um contrato de mútuo a essência do equilíbrio está na concessão, pelo credor, de empréstimo com um custo razoável, e a restituição pelo devedor, do valor emprestado, devidamente corrigido, na forma e prazo previamente ajustados, inclusive quanto ao custo do dinheiro previsto no pacto.</w:t>
      </w:r>
    </w:p>
    <w:p w14:paraId="4F5A4559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 xml:space="preserve">Cabe ao mutuário, por seu turno, cumprir com a sua parte e devolver o que recebeu com a atualização monetária – que não é ganho de capital, pois não passa de mera atualização monetária do valor emprestado – e os juros devidos, na forma e tempo contratados. </w:t>
      </w:r>
    </w:p>
    <w:p w14:paraId="55234EF5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</w:p>
    <w:p w14:paraId="4698EEDC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  <w:b/>
          <w:bCs/>
        </w:rPr>
      </w:pPr>
      <w:r w:rsidRPr="00CA7E1B">
        <w:rPr>
          <w:rFonts w:ascii="Bookman Old Style" w:hAnsi="Bookman Old Style" w:cstheme="minorHAnsi"/>
          <w:b/>
          <w:bCs/>
        </w:rPr>
        <w:t xml:space="preserve">Nos contratos dessa espécie de financiamento a disciplina legal é específica e de observância obrigatória tanto pela Caixa Econômica Federal </w:t>
      </w:r>
      <w:r w:rsidRPr="00CA7E1B">
        <w:rPr>
          <w:rFonts w:ascii="Bookman Old Style" w:hAnsi="Bookman Old Style" w:cstheme="minorHAnsi"/>
          <w:b/>
          <w:bCs/>
        </w:rPr>
        <w:lastRenderedPageBreak/>
        <w:t xml:space="preserve">quanto pelos mutuários. De sorte que, nessa relação contratual os mutuários não se colocam como consumidores finais, tal como o conceito legal imprime.  </w:t>
      </w:r>
    </w:p>
    <w:p w14:paraId="7410504D" w14:textId="77777777" w:rsidR="00CA7E1B" w:rsidRPr="00CA7E1B" w:rsidRDefault="00CA7E1B" w:rsidP="00CA7E1B">
      <w:pPr>
        <w:spacing w:line="360" w:lineRule="auto"/>
        <w:ind w:right="426" w:firstLine="1134"/>
        <w:jc w:val="both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ab/>
      </w:r>
      <w:r w:rsidRPr="00CA7E1B">
        <w:rPr>
          <w:rFonts w:ascii="Bookman Old Style" w:hAnsi="Bookman Old Style" w:cstheme="minorHAnsi"/>
        </w:rPr>
        <w:tab/>
      </w:r>
      <w:r w:rsidRPr="00CA7E1B">
        <w:rPr>
          <w:rFonts w:ascii="Bookman Old Style" w:hAnsi="Bookman Old Style" w:cstheme="minorHAnsi"/>
        </w:rPr>
        <w:tab/>
      </w:r>
      <w:r w:rsidRPr="00CA7E1B">
        <w:rPr>
          <w:rFonts w:ascii="Bookman Old Style" w:hAnsi="Bookman Old Style" w:cstheme="minorHAnsi"/>
        </w:rPr>
        <w:tab/>
        <w:t>Ainda que assim não se entenda, mesmo que somente quanto a outras questões, diversas daquelas de natureza estritamente contratual, cumpre ponderar que quaisquer alegações devem ser devidamente provadas.</w:t>
      </w:r>
    </w:p>
    <w:p w14:paraId="30E586C5" w14:textId="77777777" w:rsidR="00CA7E1B" w:rsidRPr="00CA7E1B" w:rsidRDefault="00CA7E1B" w:rsidP="00CA7E1B">
      <w:pPr>
        <w:pStyle w:val="Recuodecorpodetexto"/>
        <w:spacing w:after="0" w:line="360" w:lineRule="auto"/>
        <w:ind w:left="0" w:right="426" w:firstLine="1134"/>
        <w:jc w:val="both"/>
        <w:rPr>
          <w:rFonts w:ascii="Bookman Old Style" w:hAnsi="Bookman Old Style" w:cstheme="minorHAnsi"/>
          <w:sz w:val="22"/>
          <w:szCs w:val="22"/>
        </w:rPr>
      </w:pPr>
    </w:p>
    <w:p w14:paraId="70700383" w14:textId="77777777" w:rsidR="00CA7E1B" w:rsidRPr="00CA7E1B" w:rsidRDefault="00CA7E1B" w:rsidP="00CA7E1B">
      <w:pPr>
        <w:pStyle w:val="Recuodecorpodetexto"/>
        <w:spacing w:after="0" w:line="360" w:lineRule="auto"/>
        <w:ind w:left="0" w:right="426" w:firstLine="1134"/>
        <w:jc w:val="both"/>
        <w:rPr>
          <w:rFonts w:ascii="Bookman Old Style" w:hAnsi="Bookman Old Style" w:cstheme="minorHAnsi"/>
          <w:sz w:val="22"/>
          <w:szCs w:val="22"/>
        </w:rPr>
      </w:pPr>
      <w:r w:rsidRPr="00CA7E1B">
        <w:rPr>
          <w:rFonts w:ascii="Bookman Old Style" w:hAnsi="Bookman Old Style" w:cstheme="minorHAnsi"/>
          <w:sz w:val="22"/>
          <w:szCs w:val="22"/>
        </w:rPr>
        <w:t>Assim são essas as razões de ordem eminentemente jurídica que conduzem, inexoravelmente, à conclusão de que não se aplica o Código de Defesa do Consumidor ao caso em apreço.</w:t>
      </w:r>
    </w:p>
    <w:p w14:paraId="1443B187" w14:textId="77777777" w:rsidR="00CA7E1B" w:rsidRPr="00CA7E1B" w:rsidRDefault="00CA7E1B" w:rsidP="00CA7E1B">
      <w:pPr>
        <w:pStyle w:val="Recuodecorpodetexto"/>
        <w:spacing w:after="0" w:line="360" w:lineRule="auto"/>
        <w:ind w:left="0" w:right="426" w:firstLine="1134"/>
        <w:jc w:val="both"/>
        <w:rPr>
          <w:rFonts w:ascii="Bookman Old Style" w:hAnsi="Bookman Old Style" w:cstheme="minorHAnsi"/>
          <w:sz w:val="22"/>
          <w:szCs w:val="22"/>
        </w:rPr>
      </w:pPr>
    </w:p>
    <w:p w14:paraId="03FE421E" w14:textId="77777777" w:rsidR="00CA7E1B" w:rsidRPr="00CA7E1B" w:rsidRDefault="00CA7E1B" w:rsidP="00CA7E1B">
      <w:pPr>
        <w:pStyle w:val="Recuodecorpodetexto"/>
        <w:spacing w:after="0" w:line="360" w:lineRule="auto"/>
        <w:ind w:left="0" w:right="426" w:firstLine="1134"/>
        <w:jc w:val="both"/>
        <w:rPr>
          <w:rFonts w:ascii="Bookman Old Style" w:hAnsi="Bookman Old Style" w:cstheme="minorHAnsi"/>
          <w:b/>
          <w:spacing w:val="-1"/>
          <w:sz w:val="22"/>
          <w:szCs w:val="22"/>
          <w:u w:val="single"/>
          <w:lang w:val="pt-PT"/>
        </w:rPr>
      </w:pPr>
      <w:r w:rsidRPr="00CA7E1B">
        <w:rPr>
          <w:rFonts w:ascii="Bookman Old Style" w:hAnsi="Bookman Old Style" w:cstheme="minorHAnsi"/>
          <w:b/>
          <w:spacing w:val="1"/>
          <w:sz w:val="22"/>
          <w:szCs w:val="22"/>
          <w:lang w:val="pt-PT"/>
        </w:rPr>
        <w:tab/>
        <w:t xml:space="preserve">Estão, pois, ausentes os requisitos para que se possa aplicar o </w:t>
      </w:r>
      <w:r w:rsidRPr="00CA7E1B">
        <w:rPr>
          <w:rFonts w:ascii="Bookman Old Style" w:hAnsi="Bookman Old Style" w:cstheme="minorHAnsi"/>
          <w:b/>
          <w:spacing w:val="6"/>
          <w:sz w:val="22"/>
          <w:szCs w:val="22"/>
          <w:lang w:val="pt-PT"/>
        </w:rPr>
        <w:t>art. 3°, §2° do CDC, corolário</w:t>
      </w:r>
      <w:r w:rsidRPr="00CA7E1B">
        <w:rPr>
          <w:rFonts w:ascii="Bookman Old Style" w:hAnsi="Bookman Old Style" w:cstheme="minorHAnsi"/>
          <w:b/>
          <w:spacing w:val="6"/>
          <w:sz w:val="22"/>
          <w:szCs w:val="22"/>
          <w:u w:val="single"/>
          <w:lang w:val="pt-PT"/>
        </w:rPr>
        <w:t xml:space="preserve">, não se aplica ao caso presente o Código de Defesa do </w:t>
      </w:r>
      <w:r w:rsidRPr="00CA7E1B">
        <w:rPr>
          <w:rFonts w:ascii="Bookman Old Style" w:hAnsi="Bookman Old Style" w:cstheme="minorHAnsi"/>
          <w:b/>
          <w:spacing w:val="-1"/>
          <w:sz w:val="22"/>
          <w:szCs w:val="22"/>
          <w:u w:val="single"/>
          <w:lang w:val="pt-PT"/>
        </w:rPr>
        <w:t>Consumidor bem como a inversão do ônus da prova, nos termos do art. 6, VIII da Lei 8.078/90.</w:t>
      </w:r>
    </w:p>
    <w:p w14:paraId="3F2E2BFF" w14:textId="77777777" w:rsidR="00AD1EE7" w:rsidRDefault="00AD1EE7" w:rsidP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b/>
          <w:bCs/>
        </w:rPr>
      </w:pPr>
    </w:p>
    <w:p w14:paraId="21412E24" w14:textId="15FAA6F6" w:rsidR="00861713" w:rsidRPr="00683E18" w:rsidRDefault="00683E18" w:rsidP="00861713">
      <w:pPr>
        <w:spacing w:line="360" w:lineRule="auto"/>
        <w:ind w:firstLine="567"/>
        <w:jc w:val="center"/>
        <w:rPr>
          <w:rFonts w:ascii="Bookman Old Style" w:hAnsi="Bookman Old Style" w:cstheme="minorHAnsi"/>
          <w:b/>
          <w:bCs/>
        </w:rPr>
      </w:pPr>
      <w:r w:rsidRPr="00683E18">
        <w:rPr>
          <w:rFonts w:ascii="Bookman Old Style" w:hAnsi="Bookman Old Style" w:cstheme="minorHAnsi"/>
          <w:b/>
          <w:bCs/>
        </w:rPr>
        <w:t xml:space="preserve">IX - </w:t>
      </w:r>
      <w:r w:rsidR="00861713" w:rsidRPr="00683E18">
        <w:rPr>
          <w:rFonts w:ascii="Bookman Old Style" w:hAnsi="Bookman Old Style" w:cstheme="minorHAnsi"/>
          <w:b/>
          <w:bCs/>
        </w:rPr>
        <w:t>DA LIVRE ADESÃO</w:t>
      </w:r>
    </w:p>
    <w:p w14:paraId="5C93DAB1" w14:textId="77777777" w:rsidR="00861713" w:rsidRPr="00683E18" w:rsidRDefault="00861713" w:rsidP="00861713">
      <w:pPr>
        <w:spacing w:line="360" w:lineRule="auto"/>
        <w:ind w:firstLine="567"/>
        <w:jc w:val="center"/>
        <w:rPr>
          <w:rFonts w:ascii="Bookman Old Style" w:hAnsi="Bookman Old Style" w:cstheme="minorHAnsi"/>
          <w:b/>
          <w:bCs/>
        </w:rPr>
      </w:pPr>
    </w:p>
    <w:p w14:paraId="2F399A4F" w14:textId="3BBB9593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  <w:highlight w:val="yellow"/>
        </w:rPr>
        <w:t xml:space="preserve">Deve-se frisar que jamais houve qualquer ato de coação para com a parte </w:t>
      </w:r>
      <w:r w:rsidRPr="00683E18">
        <w:rPr>
          <w:rFonts w:ascii="Bookman Old Style" w:hAnsi="Bookman Old Style" w:cstheme="minorHAnsi"/>
          <w:noProof/>
          <w:highlight w:val="yellow"/>
        </w:rPr>
        <w:t>agravante</w:t>
      </w:r>
      <w:r w:rsidRPr="00683E18">
        <w:rPr>
          <w:rFonts w:ascii="Bookman Old Style" w:hAnsi="Bookman Old Style" w:cstheme="minorHAnsi"/>
          <w:noProof/>
          <w:highlight w:val="yellow"/>
        </w:rPr>
        <w:t xml:space="preserve">, que </w:t>
      </w:r>
      <w:r w:rsidRPr="00683E18">
        <w:rPr>
          <w:rFonts w:ascii="Bookman Old Style" w:hAnsi="Bookman Old Style" w:cstheme="minorHAnsi"/>
          <w:b/>
          <w:noProof/>
          <w:highlight w:val="yellow"/>
        </w:rPr>
        <w:t>efetuou a contratação do crédito por livre e expontânea vontade</w:t>
      </w:r>
      <w:r w:rsidRPr="00683E18">
        <w:rPr>
          <w:rFonts w:ascii="Bookman Old Style" w:hAnsi="Bookman Old Style" w:cstheme="minorHAnsi"/>
          <w:noProof/>
          <w:highlight w:val="yellow"/>
        </w:rPr>
        <w:t>.</w:t>
      </w:r>
    </w:p>
    <w:p w14:paraId="4FE192A7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</w:p>
    <w:p w14:paraId="47A35C68" w14:textId="55812362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Assim, tem-se que o contrato perfez-se, em respeito ao princípio do consensualismo peculiar e imprescindível às avenças, de maneira que,</w:t>
      </w:r>
      <w:r w:rsidRPr="00683E18">
        <w:rPr>
          <w:rFonts w:ascii="Bookman Old Style" w:hAnsi="Bookman Old Style" w:cstheme="minorHAnsi"/>
          <w:noProof/>
        </w:rPr>
        <w:t xml:space="preserve"> </w:t>
      </w:r>
      <w:r w:rsidRPr="00683E18">
        <w:rPr>
          <w:rFonts w:ascii="Bookman Old Style" w:hAnsi="Bookman Old Style" w:cstheme="minorHAnsi"/>
          <w:noProof/>
        </w:rPr>
        <w:t xml:space="preserve">ofertando a CAIXA as condições sob as quais o pacto desenvolver-se-ia, a parte demandante poderia optar por anuir a elas ou não. </w:t>
      </w:r>
    </w:p>
    <w:p w14:paraId="2059C49B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</w:p>
    <w:p w14:paraId="611CCD4F" w14:textId="56373E31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Se decidiu pela contratação, com elas anuiu. A manifestação da vontade, no sentido da aceitação, foi, portanto, livre e desembaraçada de qualquer coação, celebrando o contrato despido de qualquer vício de consentimento.</w:t>
      </w:r>
    </w:p>
    <w:p w14:paraId="28FD2D23" w14:textId="2DE5806C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lastRenderedPageBreak/>
        <w:t>A parte autora negociou gozando da plenitude de sua liberdade de contratar, tendo ciência do que estava contratando e de como se desenvolveria o contrato, portanto, impertinente o pleito d</w:t>
      </w:r>
      <w:r w:rsidRPr="00683E18">
        <w:rPr>
          <w:rFonts w:ascii="Bookman Old Style" w:hAnsi="Bookman Old Style" w:cstheme="minorHAnsi"/>
          <w:noProof/>
        </w:rPr>
        <w:t>o recurso de agravo</w:t>
      </w:r>
      <w:r w:rsidRPr="00683E18">
        <w:rPr>
          <w:rFonts w:ascii="Bookman Old Style" w:hAnsi="Bookman Old Style" w:cstheme="minorHAnsi"/>
          <w:noProof/>
        </w:rPr>
        <w:t>.</w:t>
      </w:r>
    </w:p>
    <w:p w14:paraId="13B95E9A" w14:textId="77777777" w:rsidR="00861713" w:rsidRPr="00683E18" w:rsidRDefault="00861713" w:rsidP="00861713">
      <w:pPr>
        <w:spacing w:before="200" w:after="200" w:line="240" w:lineRule="auto"/>
        <w:ind w:firstLine="567"/>
        <w:jc w:val="center"/>
        <w:rPr>
          <w:rFonts w:ascii="Bookman Old Style" w:hAnsi="Bookman Old Style" w:cstheme="minorHAnsi"/>
          <w:b/>
          <w:bCs/>
          <w:u w:val="single"/>
        </w:rPr>
      </w:pPr>
    </w:p>
    <w:p w14:paraId="496EE6FA" w14:textId="1DDE51F3" w:rsidR="00861713" w:rsidRPr="00683E18" w:rsidRDefault="00683E18" w:rsidP="00861713">
      <w:pPr>
        <w:spacing w:before="200" w:after="200" w:line="240" w:lineRule="auto"/>
        <w:ind w:firstLine="567"/>
        <w:jc w:val="center"/>
        <w:rPr>
          <w:rFonts w:ascii="Bookman Old Style" w:hAnsi="Bookman Old Style" w:cstheme="minorHAnsi"/>
          <w:b/>
          <w:bCs/>
          <w:u w:val="single"/>
        </w:rPr>
      </w:pPr>
      <w:r>
        <w:rPr>
          <w:rFonts w:ascii="Bookman Old Style" w:hAnsi="Bookman Old Style" w:cstheme="minorHAnsi"/>
          <w:b/>
          <w:bCs/>
          <w:u w:val="single"/>
        </w:rPr>
        <w:t xml:space="preserve">X - </w:t>
      </w:r>
      <w:r w:rsidR="00861713" w:rsidRPr="00683E18">
        <w:rPr>
          <w:rFonts w:ascii="Bookman Old Style" w:hAnsi="Bookman Old Style" w:cstheme="minorHAnsi"/>
          <w:b/>
          <w:bCs/>
          <w:u w:val="single"/>
        </w:rPr>
        <w:t>ATO JURÍDICO PERFEITO</w:t>
      </w:r>
    </w:p>
    <w:p w14:paraId="3E9FE507" w14:textId="77777777" w:rsidR="00861713" w:rsidRPr="00683E18" w:rsidRDefault="00861713" w:rsidP="00861713">
      <w:pPr>
        <w:spacing w:before="200" w:after="200" w:line="240" w:lineRule="auto"/>
        <w:ind w:firstLine="567"/>
        <w:rPr>
          <w:rFonts w:ascii="Bookman Old Style" w:hAnsi="Bookman Old Style" w:cstheme="minorHAnsi"/>
          <w:b/>
          <w:bCs/>
          <w:u w:val="single"/>
        </w:rPr>
      </w:pPr>
    </w:p>
    <w:p w14:paraId="17222014" w14:textId="3F0A38AA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É certo afirmar que a parte </w:t>
      </w:r>
      <w:r w:rsidRPr="00683E18">
        <w:rPr>
          <w:rFonts w:ascii="Bookman Old Style" w:hAnsi="Bookman Old Style" w:cstheme="minorHAnsi"/>
          <w:noProof/>
        </w:rPr>
        <w:t>agravante</w:t>
      </w:r>
      <w:r w:rsidRPr="00683E18">
        <w:rPr>
          <w:rFonts w:ascii="Bookman Old Style" w:hAnsi="Bookman Old Style" w:cstheme="minorHAnsi"/>
          <w:noProof/>
        </w:rPr>
        <w:t>, ao aceitar o crédito, aceitou e concordou com contrapartida que seria necessária, qual seja, a restituição ao Banco, dessa forma, completou-se suficiente e eficientemente o suporte fático do mesmo, o qual existe, é válido e plenamente eficaz.</w:t>
      </w:r>
    </w:p>
    <w:p w14:paraId="13354D46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</w:p>
    <w:p w14:paraId="7EE23E22" w14:textId="76813650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Afinal, a demandante livremente pactuou com a </w:t>
      </w:r>
      <w:r w:rsidRPr="00683E18">
        <w:rPr>
          <w:rFonts w:ascii="Bookman Old Style" w:hAnsi="Bookman Old Style" w:cstheme="minorHAnsi"/>
          <w:noProof/>
        </w:rPr>
        <w:t>agravada</w:t>
      </w:r>
      <w:r w:rsidRPr="00683E18">
        <w:rPr>
          <w:rFonts w:ascii="Bookman Old Style" w:hAnsi="Bookman Old Style" w:cstheme="minorHAnsi"/>
          <w:noProof/>
        </w:rPr>
        <w:t>, tendo manifestado vontade de adquirir o seguro, não tendo sido, por óbvio, coagida realizar a contratação, tanto que em momento algum restou tal situação demonstrada nos autos.</w:t>
      </w:r>
    </w:p>
    <w:p w14:paraId="48769809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</w:p>
    <w:p w14:paraId="08B36A83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Como leciona o ilustre professor português Mário Júlio de Almeida Costa: </w:t>
      </w:r>
    </w:p>
    <w:p w14:paraId="6609E3E0" w14:textId="77777777" w:rsidR="00861713" w:rsidRPr="00683E18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(...) O instituto [contrato] é dominado pelo princípio da autonomia da vontade ou da liberdade negocial. (...)</w:t>
      </w:r>
    </w:p>
    <w:p w14:paraId="247802BC" w14:textId="77777777" w:rsidR="00861713" w:rsidRPr="00683E18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Do referido princípio decorrem várias conseqüências: ninguém pode ser, em tese geral, obrigado a contratar ou deixar de contratar; as partes podem determinar com inteira autonomia o conteúdo das relações obrigacionais que estabelecem, desde que não haja lei imperativa, princípio de ordem pública ou bons costumes que se oponham.</w:t>
      </w:r>
    </w:p>
    <w:p w14:paraId="2B0DB187" w14:textId="77777777" w:rsidR="00861713" w:rsidRPr="00683E18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(COSTA, Mário Júlio de Almeida. Direito das Obrigações. Coimbra: Atlântida. 1968. pág. 98.)</w:t>
      </w:r>
    </w:p>
    <w:p w14:paraId="4760499B" w14:textId="77777777" w:rsidR="00861713" w:rsidRPr="00683E18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</w:p>
    <w:p w14:paraId="60838E9F" w14:textId="77777777" w:rsidR="00861713" w:rsidRPr="00683E18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</w:p>
    <w:p w14:paraId="53F496AD" w14:textId="04DD9F94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b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Assim sendo, não há qualquer vício do consentimento demonstrado – leia-se: COMPROVADO – pela parte </w:t>
      </w:r>
      <w:r w:rsidRPr="00683E18">
        <w:rPr>
          <w:rFonts w:ascii="Bookman Old Style" w:hAnsi="Bookman Old Style" w:cstheme="minorHAnsi"/>
          <w:noProof/>
        </w:rPr>
        <w:t>agravante</w:t>
      </w:r>
      <w:r w:rsidRPr="00683E18">
        <w:rPr>
          <w:rFonts w:ascii="Bookman Old Style" w:hAnsi="Bookman Old Style" w:cstheme="minorHAnsi"/>
          <w:noProof/>
        </w:rPr>
        <w:t xml:space="preserve"> que possa vir a anular o negócio jurídico realizado entre as partes, pelo que impertinente o pedido de deduzido na inicial, que deverá, invariavelmente, ser </w:t>
      </w:r>
      <w:r w:rsidRPr="00683E18">
        <w:rPr>
          <w:rFonts w:ascii="Bookman Old Style" w:hAnsi="Bookman Old Style" w:cstheme="minorHAnsi"/>
          <w:noProof/>
        </w:rPr>
        <w:t>mantida a decisão agravada</w:t>
      </w:r>
      <w:r w:rsidRPr="00683E18">
        <w:rPr>
          <w:rFonts w:ascii="Bookman Old Style" w:hAnsi="Bookman Old Style" w:cstheme="minorHAnsi"/>
          <w:noProof/>
        </w:rPr>
        <w:t>.</w:t>
      </w:r>
    </w:p>
    <w:p w14:paraId="20383352" w14:textId="57EB267A" w:rsidR="00861713" w:rsidRPr="00683E18" w:rsidRDefault="00861713" w:rsidP="00861713">
      <w:pPr>
        <w:spacing w:before="200" w:after="200" w:line="240" w:lineRule="auto"/>
        <w:ind w:firstLine="567"/>
        <w:jc w:val="center"/>
        <w:rPr>
          <w:rFonts w:ascii="Bookman Old Style" w:hAnsi="Bookman Old Style" w:cstheme="minorHAnsi"/>
          <w:b/>
          <w:bCs/>
          <w:u w:val="single"/>
        </w:rPr>
      </w:pPr>
    </w:p>
    <w:p w14:paraId="271592A7" w14:textId="2F9BA30B" w:rsidR="00861713" w:rsidRPr="00683E18" w:rsidRDefault="00683E18" w:rsidP="00861713">
      <w:pPr>
        <w:spacing w:before="200" w:after="200" w:line="240" w:lineRule="auto"/>
        <w:ind w:firstLine="567"/>
        <w:jc w:val="center"/>
        <w:rPr>
          <w:rFonts w:ascii="Bookman Old Style" w:hAnsi="Bookman Old Style" w:cstheme="minorHAnsi"/>
          <w:b/>
          <w:bCs/>
          <w:u w:val="single"/>
        </w:rPr>
      </w:pPr>
      <w:r>
        <w:rPr>
          <w:rFonts w:ascii="Bookman Old Style" w:hAnsi="Bookman Old Style" w:cstheme="minorHAnsi"/>
          <w:b/>
          <w:bCs/>
          <w:u w:val="single"/>
        </w:rPr>
        <w:t xml:space="preserve">XI - </w:t>
      </w:r>
      <w:r w:rsidR="00861713" w:rsidRPr="00683E18">
        <w:rPr>
          <w:rFonts w:ascii="Bookman Old Style" w:hAnsi="Bookman Old Style" w:cstheme="minorHAnsi"/>
          <w:b/>
          <w:bCs/>
          <w:u w:val="single"/>
        </w:rPr>
        <w:t>BOA-FÉ OBJETIVA</w:t>
      </w:r>
    </w:p>
    <w:p w14:paraId="01A7DD8C" w14:textId="77777777" w:rsidR="00861713" w:rsidRPr="00683E18" w:rsidRDefault="00861713" w:rsidP="00861713">
      <w:pPr>
        <w:spacing w:before="200" w:after="200" w:line="240" w:lineRule="auto"/>
        <w:ind w:firstLine="567"/>
        <w:rPr>
          <w:rFonts w:ascii="Bookman Old Style" w:hAnsi="Bookman Old Style" w:cstheme="minorHAnsi"/>
          <w:b/>
          <w:bCs/>
          <w:u w:val="single"/>
        </w:rPr>
      </w:pPr>
    </w:p>
    <w:p w14:paraId="1FEB0546" w14:textId="21F6199B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A impossibilidade de a parte </w:t>
      </w:r>
      <w:r w:rsidRPr="00683E18">
        <w:rPr>
          <w:rFonts w:ascii="Bookman Old Style" w:hAnsi="Bookman Old Style" w:cstheme="minorHAnsi"/>
          <w:noProof/>
        </w:rPr>
        <w:t>agravante</w:t>
      </w:r>
      <w:r w:rsidRPr="00683E18">
        <w:rPr>
          <w:rFonts w:ascii="Bookman Old Style" w:hAnsi="Bookman Old Style" w:cstheme="minorHAnsi"/>
          <w:noProof/>
        </w:rPr>
        <w:t xml:space="preserve"> invalidar sua própria declaração de vontade decorre principalmente da boa-fé que deve preponderar nas relações jurídicas, em respeito à regra </w:t>
      </w:r>
      <w:r w:rsidRPr="00683E18">
        <w:rPr>
          <w:rFonts w:ascii="Bookman Old Style" w:hAnsi="Bookman Old Style" w:cstheme="minorHAnsi"/>
          <w:i/>
          <w:noProof/>
        </w:rPr>
        <w:t>nemo datur venire contra factum proprium</w:t>
      </w:r>
      <w:r w:rsidRPr="00683E18">
        <w:rPr>
          <w:rFonts w:ascii="Bookman Old Style" w:hAnsi="Bookman Old Style" w:cstheme="minorHAnsi"/>
          <w:noProof/>
        </w:rPr>
        <w:t>.</w:t>
      </w:r>
    </w:p>
    <w:p w14:paraId="163617DD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Por tal regra ninguém pode destruir os efeitos jurídicos que criou com os seus próprios atos. O </w:t>
      </w:r>
      <w:r w:rsidRPr="00683E18">
        <w:rPr>
          <w:rFonts w:ascii="Bookman Old Style" w:hAnsi="Bookman Old Style" w:cstheme="minorHAnsi"/>
          <w:i/>
          <w:noProof/>
        </w:rPr>
        <w:t>factum proprium</w:t>
      </w:r>
      <w:r w:rsidRPr="00683E18">
        <w:rPr>
          <w:rFonts w:ascii="Bookman Old Style" w:hAnsi="Bookman Old Style" w:cstheme="minorHAnsi"/>
          <w:noProof/>
        </w:rPr>
        <w:t xml:space="preserve"> significa a expressa ou tácita declaração de vontade, integradora de um negócio jurídico material ou de ato processual, cuja conduta posterior pretenda destruir, ou pelo menos desconhecer os seus efeitos.</w:t>
      </w:r>
    </w:p>
    <w:p w14:paraId="343E3890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</w:p>
    <w:p w14:paraId="520CC224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Segundo o professor Paulo Luiz Netto Lobo:</w:t>
      </w:r>
    </w:p>
    <w:p w14:paraId="4E80CEC2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noProof/>
        </w:rPr>
      </w:pPr>
    </w:p>
    <w:p w14:paraId="3E88CB62" w14:textId="77777777" w:rsidR="00861713" w:rsidRPr="00683E18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 xml:space="preserve">(...) A boa-fé objetiva é dever de conduta dos indivíduos nas relações jurídicas obrigacionais, especialmente no contrato. Interessam as repercussões de certos comportamentos na confiança que as pessoas normalmente neles depositam. Confia-se no significado comum, usual, objetivo da conduta ou comportamento reconhecível no mundo social. A boa-fé objetiva importa conduta honesta, leal, correta. É a boa-fé de conduta. Para Menezes Cordeiro, a confiança exprime a situação em que uma pessoa adere, em termos de atividade ou de crença, a certas representações, passadas, presentes ou futuras, que tenha por efetivas. O princípio da confiança </w:t>
      </w:r>
      <w:r w:rsidRPr="00683E18">
        <w:rPr>
          <w:rFonts w:ascii="Bookman Old Style" w:hAnsi="Bookman Old Style" w:cstheme="minorHAnsi"/>
          <w:noProof/>
        </w:rPr>
        <w:lastRenderedPageBreak/>
        <w:t xml:space="preserve">explicitaria o reconhecimento dessa situação e a sua tutela. </w:t>
      </w:r>
    </w:p>
    <w:p w14:paraId="20EF3F74" w14:textId="77777777" w:rsidR="00861713" w:rsidRDefault="00861713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  <w:r w:rsidRPr="00683E18">
        <w:rPr>
          <w:rFonts w:ascii="Bookman Old Style" w:hAnsi="Bookman Old Style" w:cstheme="minorHAnsi"/>
          <w:noProof/>
        </w:rPr>
        <w:t>(LÔBO, Paulo Luiz Netto. Deveres gerais de conduta nas obrigações civis. Jus Navigandi, Teresina, ano 9, n. 711, 16 jun. 2005)</w:t>
      </w:r>
    </w:p>
    <w:p w14:paraId="0089CEE7" w14:textId="77777777" w:rsidR="00683E18" w:rsidRPr="00683E18" w:rsidRDefault="00683E18" w:rsidP="00861713">
      <w:pPr>
        <w:tabs>
          <w:tab w:val="left" w:pos="4140"/>
        </w:tabs>
        <w:spacing w:line="360" w:lineRule="auto"/>
        <w:ind w:left="2835" w:firstLine="567"/>
        <w:jc w:val="both"/>
        <w:rPr>
          <w:rFonts w:ascii="Bookman Old Style" w:hAnsi="Bookman Old Style" w:cstheme="minorHAnsi"/>
          <w:noProof/>
        </w:rPr>
      </w:pPr>
    </w:p>
    <w:p w14:paraId="1561F83F" w14:textId="77777777" w:rsidR="00861713" w:rsidRPr="00683E18" w:rsidRDefault="00861713" w:rsidP="00861713">
      <w:pPr>
        <w:tabs>
          <w:tab w:val="left" w:pos="4140"/>
        </w:tabs>
        <w:spacing w:line="360" w:lineRule="auto"/>
        <w:ind w:firstLine="567"/>
        <w:jc w:val="both"/>
        <w:rPr>
          <w:rFonts w:ascii="Bookman Old Style" w:hAnsi="Bookman Old Style" w:cstheme="minorHAnsi"/>
          <w:b/>
          <w:bCs/>
          <w:noProof/>
        </w:rPr>
      </w:pPr>
      <w:r w:rsidRPr="00683E18">
        <w:rPr>
          <w:rFonts w:ascii="Bookman Old Style" w:hAnsi="Bookman Old Style" w:cstheme="minorHAnsi"/>
          <w:b/>
          <w:bCs/>
          <w:noProof/>
        </w:rPr>
        <w:t>Ora, a pura e simples alteração contratual quebra também com a boa-fé objetiva.</w:t>
      </w:r>
    </w:p>
    <w:p w14:paraId="6315F05A" w14:textId="77777777" w:rsidR="00861713" w:rsidRDefault="00861713" w:rsidP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b/>
          <w:bCs/>
        </w:rPr>
      </w:pPr>
    </w:p>
    <w:p w14:paraId="6DE264C8" w14:textId="77777777" w:rsidR="00861713" w:rsidRPr="00CA7E1B" w:rsidRDefault="00861713" w:rsidP="00062887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  <w:b/>
          <w:bCs/>
        </w:rPr>
      </w:pPr>
    </w:p>
    <w:p w14:paraId="6CB4C135" w14:textId="43371DAE" w:rsidR="00062887" w:rsidRPr="00CA7E1B" w:rsidRDefault="00683E18" w:rsidP="00683E18">
      <w:pPr>
        <w:spacing w:before="240" w:after="240" w:line="240" w:lineRule="auto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  <w:bCs/>
        </w:rPr>
        <w:t>XII</w:t>
      </w:r>
      <w:r w:rsidR="00062887" w:rsidRPr="00CA7E1B">
        <w:rPr>
          <w:rFonts w:ascii="Bookman Old Style" w:eastAsia="Bookman Old Style" w:hAnsi="Bookman Old Style" w:cs="Bookman Old Style"/>
          <w:b/>
          <w:bCs/>
        </w:rPr>
        <w:t xml:space="preserve"> –DOS PEDIDOS E REQUERIMENTOS</w:t>
      </w:r>
    </w:p>
    <w:p w14:paraId="769B5537" w14:textId="77777777" w:rsidR="00F556C1" w:rsidRPr="00CA7E1B" w:rsidRDefault="00F556C1" w:rsidP="00F556C1">
      <w:pPr>
        <w:spacing w:before="240" w:after="240" w:line="240" w:lineRule="auto"/>
        <w:jc w:val="both"/>
        <w:rPr>
          <w:rFonts w:ascii="Bookman Old Style" w:eastAsia="Bookman Old Style" w:hAnsi="Bookman Old Style" w:cs="Bookman Old Style"/>
        </w:rPr>
      </w:pPr>
    </w:p>
    <w:p w14:paraId="4BEA4C67" w14:textId="085160BF" w:rsidR="00F556C1" w:rsidRPr="00CA7E1B" w:rsidRDefault="00062887" w:rsidP="00F556C1">
      <w:pPr>
        <w:spacing w:before="240" w:after="240" w:line="240" w:lineRule="auto"/>
        <w:ind w:firstLine="1134"/>
        <w:jc w:val="both"/>
        <w:rPr>
          <w:rFonts w:ascii="Bookman Old Style" w:eastAsia="Bookman Old Style" w:hAnsi="Bookman Old Style" w:cs="Bookman Old Style"/>
        </w:rPr>
      </w:pPr>
      <w:r w:rsidRPr="00CA7E1B">
        <w:rPr>
          <w:rFonts w:ascii="Bookman Old Style" w:eastAsia="Bookman Old Style" w:hAnsi="Bookman Old Style" w:cs="Bookman Old Style"/>
        </w:rPr>
        <w:t xml:space="preserve">Forte nos fundamentos jurídicos acima expostos, a </w:t>
      </w:r>
      <w:r w:rsidR="00715CA8" w:rsidRPr="00CA7E1B">
        <w:rPr>
          <w:rFonts w:ascii="Bookman Old Style" w:eastAsia="Bookman Old Style" w:hAnsi="Bookman Old Style" w:cs="Bookman Old Style"/>
        </w:rPr>
        <w:t>Caixa Econômica Federal</w:t>
      </w:r>
      <w:r w:rsidRPr="00CA7E1B">
        <w:rPr>
          <w:rFonts w:ascii="Bookman Old Style" w:eastAsia="Bookman Old Style" w:hAnsi="Bookman Old Style" w:cs="Bookman Old Style"/>
        </w:rPr>
        <w:t xml:space="preserve"> requer que seja negado provimento ao </w:t>
      </w:r>
      <w:r w:rsidR="00F556C1" w:rsidRPr="00CA7E1B">
        <w:rPr>
          <w:rFonts w:ascii="Bookman Old Style" w:eastAsia="Bookman Old Style" w:hAnsi="Bookman Old Style" w:cs="Bookman Old Style"/>
        </w:rPr>
        <w:t xml:space="preserve">Agravo </w:t>
      </w:r>
      <w:r w:rsidR="00062F84" w:rsidRPr="00CA7E1B">
        <w:rPr>
          <w:rFonts w:ascii="Bookman Old Style" w:eastAsia="Bookman Old Style" w:hAnsi="Bookman Old Style" w:cs="Bookman Old Style"/>
        </w:rPr>
        <w:t>de Instrumento</w:t>
      </w:r>
      <w:r w:rsidRPr="00CA7E1B">
        <w:rPr>
          <w:rFonts w:ascii="Bookman Old Style" w:eastAsia="Bookman Old Style" w:hAnsi="Bookman Old Style" w:cs="Bookman Old Style"/>
        </w:rPr>
        <w:t xml:space="preserve">, mantendo-se </w:t>
      </w:r>
      <w:r w:rsidRPr="00CA7E1B">
        <w:rPr>
          <w:rFonts w:ascii="Bookman Old Style" w:eastAsia="Bookman Old Style" w:hAnsi="Bookman Old Style" w:cs="Bookman Old Style"/>
          <w:i/>
          <w:iCs/>
        </w:rPr>
        <w:t xml:space="preserve">in </w:t>
      </w:r>
      <w:proofErr w:type="spellStart"/>
      <w:r w:rsidRPr="00CA7E1B">
        <w:rPr>
          <w:rFonts w:ascii="Bookman Old Style" w:eastAsia="Bookman Old Style" w:hAnsi="Bookman Old Style" w:cs="Bookman Old Style"/>
          <w:i/>
          <w:iCs/>
        </w:rPr>
        <w:t>totum</w:t>
      </w:r>
      <w:proofErr w:type="spellEnd"/>
      <w:r w:rsidRPr="00CA7E1B">
        <w:rPr>
          <w:rFonts w:ascii="Bookman Old Style" w:eastAsia="Bookman Old Style" w:hAnsi="Bookman Old Style" w:cs="Bookman Old Style"/>
        </w:rPr>
        <w:t xml:space="preserve"> </w:t>
      </w:r>
      <w:r w:rsidR="00155286" w:rsidRPr="00CA7E1B">
        <w:rPr>
          <w:rFonts w:ascii="Bookman Old Style" w:eastAsia="Bookman Old Style" w:hAnsi="Bookman Old Style" w:cs="Bookman Old Style"/>
        </w:rPr>
        <w:t>a decisão</w:t>
      </w:r>
      <w:r w:rsidR="00D7140A" w:rsidRPr="00CA7E1B">
        <w:rPr>
          <w:rFonts w:ascii="Bookman Old Style" w:eastAsia="Bookman Old Style" w:hAnsi="Bookman Old Style" w:cs="Bookman Old Style"/>
        </w:rPr>
        <w:t xml:space="preserve"> recorrid</w:t>
      </w:r>
      <w:r w:rsidR="00155286" w:rsidRPr="00CA7E1B">
        <w:rPr>
          <w:rFonts w:ascii="Bookman Old Style" w:eastAsia="Bookman Old Style" w:hAnsi="Bookman Old Style" w:cs="Bookman Old Style"/>
        </w:rPr>
        <w:t>a</w:t>
      </w:r>
      <w:r w:rsidRPr="00CA7E1B">
        <w:rPr>
          <w:rFonts w:ascii="Bookman Old Style" w:eastAsia="Bookman Old Style" w:hAnsi="Bookman Old Style" w:cs="Bookman Old Style"/>
        </w:rPr>
        <w:t xml:space="preserve">. Ademais, com base nos §§ 1º e 8º do artigo 85 do CPC, requer que a </w:t>
      </w:r>
      <w:r w:rsidR="00F556C1" w:rsidRPr="00CA7E1B">
        <w:rPr>
          <w:rFonts w:ascii="Bookman Old Style" w:eastAsia="Bookman Old Style" w:hAnsi="Bookman Old Style" w:cs="Bookman Old Style"/>
        </w:rPr>
        <w:t>agravante</w:t>
      </w:r>
      <w:r w:rsidRPr="00CA7E1B">
        <w:rPr>
          <w:rFonts w:ascii="Bookman Old Style" w:eastAsia="Bookman Old Style" w:hAnsi="Bookman Old Style" w:cs="Bookman Old Style"/>
        </w:rPr>
        <w:t xml:space="preserve"> seja condenada ao pagamento de honorários advocatícios pelo recurso interposto, majorando-se para 20% do valor da condenação</w:t>
      </w:r>
      <w:r w:rsidR="00D7140A" w:rsidRPr="00CA7E1B">
        <w:rPr>
          <w:rFonts w:ascii="Bookman Old Style" w:eastAsia="Bookman Old Style" w:hAnsi="Bookman Old Style" w:cs="Bookman Old Style"/>
        </w:rPr>
        <w:t>, bem como que haja condenação por litigância de má-fé.</w:t>
      </w:r>
    </w:p>
    <w:p w14:paraId="22F6527F" w14:textId="77777777" w:rsidR="00715CA8" w:rsidRPr="00CA7E1B" w:rsidRDefault="00715CA8" w:rsidP="00715CA8">
      <w:pPr>
        <w:spacing w:before="200" w:after="200" w:line="240" w:lineRule="auto"/>
        <w:ind w:firstLine="708"/>
        <w:jc w:val="both"/>
        <w:rPr>
          <w:rFonts w:ascii="Bookman Old Style" w:eastAsia="Bookman Old Style" w:hAnsi="Bookman Old Style" w:cs="Bookman Old Style"/>
        </w:rPr>
      </w:pPr>
      <w:r w:rsidRPr="00CA7E1B">
        <w:rPr>
          <w:rFonts w:ascii="Bookman Old Style" w:eastAsia="Bookman Old Style" w:hAnsi="Bookman Old Style" w:cs="Bookman Old Style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</w:t>
      </w:r>
      <w:r w:rsidRPr="00CA7E1B">
        <w:rPr>
          <w:rFonts w:ascii="Bookman Old Style" w:eastAsia="Bookman Old Style" w:hAnsi="Bookman Old Style" w:cs="Bookman Old Style"/>
          <w:b/>
          <w:bCs/>
          <w:u w:val="single"/>
        </w:rPr>
        <w:t xml:space="preserve">Dr. JOÃO ALVES BARBOSA FILHO, inscrito sob o nº OAB/RS 90657-A, sob pena de nulidade </w:t>
      </w:r>
      <w:proofErr w:type="gramStart"/>
      <w:r w:rsidRPr="00CA7E1B">
        <w:rPr>
          <w:rFonts w:ascii="Bookman Old Style" w:eastAsia="Bookman Old Style" w:hAnsi="Bookman Old Style" w:cs="Bookman Old Style"/>
          <w:b/>
          <w:bCs/>
          <w:u w:val="single"/>
        </w:rPr>
        <w:t>das mesmas</w:t>
      </w:r>
      <w:proofErr w:type="gramEnd"/>
      <w:r w:rsidRPr="00CA7E1B">
        <w:rPr>
          <w:rFonts w:ascii="Bookman Old Style" w:eastAsia="Bookman Old Style" w:hAnsi="Bookman Old Style" w:cs="Bookman Old Style"/>
          <w:b/>
          <w:bCs/>
          <w:u w:val="single"/>
        </w:rPr>
        <w:t>.</w:t>
      </w:r>
    </w:p>
    <w:p w14:paraId="585B6F19" w14:textId="77777777" w:rsidR="00715CA8" w:rsidRPr="00CA7E1B" w:rsidRDefault="00715CA8" w:rsidP="00715CA8">
      <w:pPr>
        <w:spacing w:before="200" w:after="200" w:line="240" w:lineRule="auto"/>
        <w:jc w:val="center"/>
        <w:rPr>
          <w:rFonts w:ascii="Bookman Old Style" w:hAnsi="Bookman Old Style" w:cstheme="minorHAnsi"/>
        </w:rPr>
      </w:pPr>
    </w:p>
    <w:p w14:paraId="4C63C232" w14:textId="454448CC" w:rsidR="00715CA8" w:rsidRPr="00CA7E1B" w:rsidRDefault="00715CA8" w:rsidP="00715CA8">
      <w:pPr>
        <w:spacing w:before="200" w:after="200" w:line="240" w:lineRule="auto"/>
        <w:jc w:val="center"/>
        <w:rPr>
          <w:rFonts w:ascii="Bookman Old Style" w:hAnsi="Bookman Old Style" w:cstheme="minorHAnsi"/>
        </w:rPr>
      </w:pPr>
      <w:r w:rsidRPr="00CA7E1B">
        <w:rPr>
          <w:rFonts w:ascii="Bookman Old Style" w:hAnsi="Bookman Old Style" w:cstheme="minorHAnsi"/>
        </w:rPr>
        <w:t>Nestes Termos,</w:t>
      </w:r>
      <w:r w:rsidRPr="00CA7E1B">
        <w:rPr>
          <w:rFonts w:ascii="Bookman Old Style" w:hAnsi="Bookman Old Style" w:cstheme="minorHAnsi"/>
        </w:rPr>
        <w:br/>
        <w:t> Pede Deferimento,</w:t>
      </w:r>
      <w:r w:rsidRPr="00CA7E1B">
        <w:rPr>
          <w:rFonts w:ascii="Bookman Old Style" w:hAnsi="Bookman Old Style" w:cstheme="minorHAnsi"/>
        </w:rPr>
        <w:br/>
      </w:r>
      <w:r w:rsidRPr="00CA7E1B">
        <w:rPr>
          <w:rFonts w:ascii="Bookman Old Style" w:hAnsi="Bookman Old Style" w:cstheme="minorHAnsi"/>
        </w:rPr>
        <w:br/>
        <w:t xml:space="preserve">PORTO ALEGRE, </w:t>
      </w:r>
      <w:r w:rsidR="00AD1EE7" w:rsidRPr="00CA7E1B">
        <w:rPr>
          <w:rFonts w:ascii="Bookman Old Style" w:hAnsi="Bookman Old Style" w:cstheme="minorHAnsi"/>
        </w:rPr>
        <w:t>04</w:t>
      </w:r>
      <w:r w:rsidRPr="00CA7E1B">
        <w:rPr>
          <w:rFonts w:ascii="Bookman Old Style" w:hAnsi="Bookman Old Style" w:cstheme="minorHAnsi"/>
        </w:rPr>
        <w:t xml:space="preserve"> de </w:t>
      </w:r>
      <w:proofErr w:type="gramStart"/>
      <w:r w:rsidR="00683E18">
        <w:rPr>
          <w:rFonts w:ascii="Bookman Old Style" w:hAnsi="Bookman Old Style" w:cstheme="minorHAnsi"/>
        </w:rPr>
        <w:t>Setembro</w:t>
      </w:r>
      <w:proofErr w:type="gramEnd"/>
      <w:r w:rsidRPr="00CA7E1B">
        <w:rPr>
          <w:rFonts w:ascii="Bookman Old Style" w:hAnsi="Bookman Old Style" w:cstheme="minorHAnsi"/>
        </w:rPr>
        <w:t xml:space="preserve"> de 2023.</w:t>
      </w:r>
      <w:r w:rsidRPr="00CA7E1B">
        <w:rPr>
          <w:rFonts w:ascii="Bookman Old Style" w:hAnsi="Bookman Old Style" w:cstheme="minorHAnsi"/>
        </w:rPr>
        <w:br/>
      </w:r>
      <w:r w:rsidRPr="00CA7E1B">
        <w:rPr>
          <w:rFonts w:ascii="Bookman Old Style" w:hAnsi="Bookman Old Style" w:cstheme="minorHAnsi"/>
        </w:rPr>
        <w:br/>
      </w:r>
      <w:r w:rsidRPr="00CA7E1B">
        <w:rPr>
          <w:rFonts w:ascii="Bookman Old Style" w:hAnsi="Bookman Old Style" w:cstheme="minorHAnsi"/>
          <w:b/>
          <w:bCs/>
        </w:rPr>
        <w:t>JOÃO BARBOSA</w:t>
      </w:r>
      <w:r w:rsidRPr="00CA7E1B">
        <w:rPr>
          <w:rFonts w:ascii="Bookman Old Style" w:hAnsi="Bookman Old Style" w:cstheme="minorHAnsi"/>
          <w:b/>
          <w:bCs/>
        </w:rPr>
        <w:br/>
        <w:t>OAB/RS 90657-A</w:t>
      </w:r>
      <w:r w:rsidRPr="00CA7E1B">
        <w:rPr>
          <w:rFonts w:ascii="Bookman Old Style" w:hAnsi="Bookman Old Style" w:cstheme="minorHAnsi"/>
          <w:b/>
          <w:bCs/>
        </w:rPr>
        <w:br/>
      </w:r>
      <w:r w:rsidRPr="00CA7E1B">
        <w:rPr>
          <w:rFonts w:ascii="Bookman Old Style" w:hAnsi="Bookman Old Style" w:cstheme="minorHAnsi"/>
        </w:rPr>
        <w:t> </w:t>
      </w:r>
    </w:p>
    <w:p w14:paraId="08190E10" w14:textId="77777777" w:rsidR="00DA2634" w:rsidRPr="00CA7E1B" w:rsidRDefault="00DA2634" w:rsidP="008F7F8B">
      <w:pPr>
        <w:jc w:val="center"/>
        <w:rPr>
          <w:rFonts w:ascii="Bookman Old Style" w:eastAsia="Bookman Old Style" w:hAnsi="Bookman Old Style" w:cs="Bookman Old Style"/>
        </w:rPr>
      </w:pPr>
    </w:p>
    <w:p w14:paraId="13C75B8F" w14:textId="77777777" w:rsidR="00DA2634" w:rsidRPr="00CA7E1B" w:rsidRDefault="00DA2634" w:rsidP="00DA2634">
      <w:pPr>
        <w:rPr>
          <w:rFonts w:ascii="Bookman Old Style" w:hAnsi="Bookman Old Style"/>
        </w:rPr>
      </w:pPr>
    </w:p>
    <w:p w14:paraId="6210434E" w14:textId="77777777" w:rsidR="00DA2634" w:rsidRPr="00CA7E1B" w:rsidRDefault="00DA2634" w:rsidP="00DA2634">
      <w:pPr>
        <w:rPr>
          <w:rFonts w:ascii="Bookman Old Style" w:hAnsi="Bookman Old Style"/>
        </w:rPr>
      </w:pPr>
    </w:p>
    <w:p w14:paraId="24F2F6AE" w14:textId="77777777" w:rsidR="00DA2634" w:rsidRDefault="00DA2634" w:rsidP="00DA2634">
      <w:pPr>
        <w:rPr>
          <w:rFonts w:ascii="Bookman Old Style" w:hAnsi="Bookman Old Style"/>
        </w:rPr>
      </w:pPr>
    </w:p>
    <w:p w14:paraId="096C6EA9" w14:textId="77777777" w:rsidR="00CA7E1B" w:rsidRPr="00CA7E1B" w:rsidRDefault="00CA7E1B" w:rsidP="00DA2634">
      <w:pPr>
        <w:rPr>
          <w:rFonts w:ascii="Bookman Old Style" w:hAnsi="Bookman Old Style"/>
        </w:rPr>
      </w:pPr>
    </w:p>
    <w:sectPr w:rsidR="00CA7E1B" w:rsidRPr="00CA7E1B" w:rsidSect="008F7F8B">
      <w:headerReference w:type="default" r:id="rId11"/>
      <w:footerReference w:type="default" r:id="rId12"/>
      <w:pgSz w:w="11906" w:h="16838"/>
      <w:pgMar w:top="1843" w:right="1133" w:bottom="1417" w:left="1701" w:header="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F28A1" w14:textId="77777777" w:rsidR="001273DF" w:rsidRDefault="001273DF">
      <w:pPr>
        <w:spacing w:after="0" w:line="240" w:lineRule="auto"/>
      </w:pPr>
      <w:r>
        <w:separator/>
      </w:r>
    </w:p>
  </w:endnote>
  <w:endnote w:type="continuationSeparator" w:id="0">
    <w:p w14:paraId="305F75C7" w14:textId="77777777" w:rsidR="001273DF" w:rsidRDefault="00127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5201D" w14:textId="77777777" w:rsidR="008F7F8B" w:rsidRDefault="00F556C1" w:rsidP="008F7F8B">
    <w:pPr>
      <w:pStyle w:val="Rodap"/>
      <w:tabs>
        <w:tab w:val="left" w:pos="-1134"/>
        <w:tab w:val="left" w:pos="-774"/>
        <w:tab w:val="right" w:pos="9639"/>
      </w:tabs>
      <w:ind w:right="360"/>
      <w:jc w:val="center"/>
      <w:rPr>
        <w:sz w:val="16"/>
        <w:szCs w:val="16"/>
      </w:rPr>
    </w:pPr>
    <w:r>
      <w:rPr>
        <w:sz w:val="18"/>
      </w:rPr>
      <w:t xml:space="preserve">Rua </w:t>
    </w:r>
    <w:r>
      <w:rPr>
        <w:sz w:val="16"/>
        <w:szCs w:val="16"/>
      </w:rPr>
      <w:t>Quarenta e Oito, n.º 138 - Espinheiro - Recife - PE - CEP: 52020-060 - Pabx: (81) 2122-1600 - Fax: (81) 2122-1690.</w:t>
    </w:r>
  </w:p>
  <w:p w14:paraId="671DD345" w14:textId="77777777" w:rsidR="008F7F8B" w:rsidRDefault="00F556C1" w:rsidP="008F7F8B">
    <w:pPr>
      <w:pStyle w:val="Rodap"/>
      <w:tabs>
        <w:tab w:val="left" w:pos="-1134"/>
        <w:tab w:val="left" w:pos="-774"/>
        <w:tab w:val="right" w:pos="9639"/>
      </w:tabs>
      <w:ind w:right="-1134"/>
      <w:jc w:val="center"/>
      <w:rPr>
        <w:sz w:val="16"/>
        <w:szCs w:val="16"/>
      </w:rPr>
    </w:pPr>
    <w:r>
      <w:rPr>
        <w:sz w:val="16"/>
        <w:szCs w:val="16"/>
      </w:rPr>
      <w:t>E-mail: joaobarbosa@joaobarbosa.com.br</w:t>
    </w:r>
  </w:p>
  <w:p w14:paraId="7E3EFCFE" w14:textId="77777777" w:rsidR="00F562A9" w:rsidRDefault="00F562A9" w:rsidP="00D6662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DF1F2" w14:textId="77777777" w:rsidR="001273DF" w:rsidRDefault="001273DF">
      <w:pPr>
        <w:spacing w:after="0" w:line="240" w:lineRule="auto"/>
      </w:pPr>
      <w:r>
        <w:separator/>
      </w:r>
    </w:p>
  </w:footnote>
  <w:footnote w:type="continuationSeparator" w:id="0">
    <w:p w14:paraId="186047B1" w14:textId="77777777" w:rsidR="001273DF" w:rsidRDefault="00127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1BF7" w14:textId="77777777" w:rsidR="00F562A9" w:rsidRDefault="00F556C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DEA760" wp14:editId="6AC7C4A5">
          <wp:simplePos x="0" y="0"/>
          <wp:positionH relativeFrom="margin">
            <wp:align>center</wp:align>
          </wp:positionH>
          <wp:positionV relativeFrom="page">
            <wp:posOffset>76200</wp:posOffset>
          </wp:positionV>
          <wp:extent cx="4901737" cy="1220400"/>
          <wp:effectExtent l="0" t="0" r="0" b="0"/>
          <wp:wrapSquare wrapText="bothSides"/>
          <wp:docPr id="78" name="Imagem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1737" cy="122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7856764">
    <w:abstractNumId w:val="0"/>
  </w:num>
  <w:num w:numId="2" w16cid:durableId="116293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A9"/>
    <w:rsid w:val="00062887"/>
    <w:rsid w:val="00062F84"/>
    <w:rsid w:val="00075599"/>
    <w:rsid w:val="000A6BD7"/>
    <w:rsid w:val="001273DF"/>
    <w:rsid w:val="0013752E"/>
    <w:rsid w:val="00155286"/>
    <w:rsid w:val="001C3850"/>
    <w:rsid w:val="001C5306"/>
    <w:rsid w:val="00250083"/>
    <w:rsid w:val="0028197C"/>
    <w:rsid w:val="002B278B"/>
    <w:rsid w:val="00302020"/>
    <w:rsid w:val="00372554"/>
    <w:rsid w:val="003A1395"/>
    <w:rsid w:val="003D2E64"/>
    <w:rsid w:val="004E2923"/>
    <w:rsid w:val="00533E20"/>
    <w:rsid w:val="005A6407"/>
    <w:rsid w:val="006628A2"/>
    <w:rsid w:val="00683E18"/>
    <w:rsid w:val="006E573F"/>
    <w:rsid w:val="00710448"/>
    <w:rsid w:val="00714813"/>
    <w:rsid w:val="00715CA8"/>
    <w:rsid w:val="0073372F"/>
    <w:rsid w:val="00861713"/>
    <w:rsid w:val="00894880"/>
    <w:rsid w:val="008F7F8B"/>
    <w:rsid w:val="00966577"/>
    <w:rsid w:val="009F54E5"/>
    <w:rsid w:val="00A10DE5"/>
    <w:rsid w:val="00A4762D"/>
    <w:rsid w:val="00A67584"/>
    <w:rsid w:val="00AD1EE7"/>
    <w:rsid w:val="00B41824"/>
    <w:rsid w:val="00B87F69"/>
    <w:rsid w:val="00C2570B"/>
    <w:rsid w:val="00CA7E1B"/>
    <w:rsid w:val="00D0597D"/>
    <w:rsid w:val="00D10C7C"/>
    <w:rsid w:val="00D6662E"/>
    <w:rsid w:val="00D7140A"/>
    <w:rsid w:val="00DA2634"/>
    <w:rsid w:val="00E401A3"/>
    <w:rsid w:val="00E420EE"/>
    <w:rsid w:val="00F02951"/>
    <w:rsid w:val="00F556C1"/>
    <w:rsid w:val="00F562A9"/>
    <w:rsid w:val="00F9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B01E1"/>
  <w15:chartTrackingRefBased/>
  <w15:docId w15:val="{D27A6F0E-1887-461E-8099-9BF37BB4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06D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62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62A9"/>
  </w:style>
  <w:style w:type="paragraph" w:styleId="Rodap">
    <w:name w:val="footer"/>
    <w:basedOn w:val="Normal"/>
    <w:link w:val="RodapChar"/>
    <w:unhideWhenUsed/>
    <w:rsid w:val="00F562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562A9"/>
  </w:style>
  <w:style w:type="character" w:styleId="Hyperlink">
    <w:name w:val="Hyperlink"/>
    <w:uiPriority w:val="99"/>
    <w:unhideWhenUsed/>
    <w:rsid w:val="00F562A9"/>
    <w:rPr>
      <w:color w:val="0000FF"/>
      <w:u w:val="single"/>
    </w:rPr>
  </w:style>
  <w:style w:type="paragraph" w:customStyle="1" w:styleId="Textosimples">
    <w:name w:val="Textosimples"/>
    <w:basedOn w:val="Normal"/>
  </w:style>
  <w:style w:type="paragraph" w:customStyle="1" w:styleId="MsoBodyText0">
    <w:name w:val="MsoBodyText"/>
    <w:basedOn w:val="Normal"/>
  </w:style>
  <w:style w:type="character" w:customStyle="1" w:styleId="Ttulo1Char">
    <w:name w:val="Título 1 Char"/>
    <w:basedOn w:val="Fontepargpadro"/>
    <w:link w:val="Ttulo1"/>
    <w:uiPriority w:val="9"/>
    <w:rsid w:val="00506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Spacing0">
    <w:name w:val="MsoNoSpacing"/>
    <w:basedOn w:val="Normal"/>
  </w:style>
  <w:style w:type="paragraph" w:styleId="NormalWeb">
    <w:name w:val="Normal (Web)"/>
    <w:basedOn w:val="Normal"/>
    <w:uiPriority w:val="99"/>
    <w:semiHidden/>
    <w:unhideWhenUsed/>
    <w:rsid w:val="00966577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556C1"/>
    <w:rPr>
      <w:b/>
      <w:bCs/>
    </w:rPr>
  </w:style>
  <w:style w:type="character" w:customStyle="1" w:styleId="ckeimageresizer">
    <w:name w:val="cke_image_resizer"/>
    <w:basedOn w:val="Fontepargpadro"/>
    <w:rsid w:val="00F556C1"/>
  </w:style>
  <w:style w:type="paragraph" w:customStyle="1" w:styleId="artigo">
    <w:name w:val="artigo"/>
    <w:basedOn w:val="Normal"/>
    <w:rsid w:val="003D2E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CA7E1B"/>
    <w:pPr>
      <w:tabs>
        <w:tab w:val="left" w:pos="429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Batang" w:hAnsi="Arial" w:cs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A7E1B"/>
    <w:rPr>
      <w:rFonts w:ascii="Arial" w:eastAsia="Batang" w:hAnsi="Arial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CA7E1B"/>
    <w:pPr>
      <w:spacing w:after="120" w:line="240" w:lineRule="auto"/>
      <w:ind w:left="283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A7E1B"/>
    <w:rPr>
      <w:rFonts w:ascii="Times New Roman" w:eastAsia="Batang" w:hAnsi="Times New Roman" w:cs="Times New Roman"/>
      <w:sz w:val="20"/>
      <w:szCs w:val="20"/>
      <w:lang w:eastAsia="pt-BR"/>
    </w:rPr>
  </w:style>
  <w:style w:type="paragraph" w:customStyle="1" w:styleId="citao">
    <w:name w:val="citação"/>
    <w:basedOn w:val="Normal"/>
    <w:rsid w:val="00CA7E1B"/>
    <w:pPr>
      <w:tabs>
        <w:tab w:val="left" w:pos="2268"/>
      </w:tabs>
      <w:spacing w:after="0" w:line="240" w:lineRule="auto"/>
      <w:ind w:left="1701" w:firstLine="567"/>
      <w:jc w:val="both"/>
    </w:pPr>
    <w:rPr>
      <w:rFonts w:ascii="Arial" w:eastAsia="Times New Roman" w:hAnsi="Arial" w:cs="Times New Roman"/>
      <w:b/>
      <w:i/>
      <w:position w:val="-2"/>
      <w:sz w:val="24"/>
      <w:szCs w:val="20"/>
      <w:lang w:val="pt-PT" w:eastAsia="pt-BR"/>
    </w:rPr>
  </w:style>
  <w:style w:type="table" w:styleId="Tabelacomgrade">
    <w:name w:val="Table Grid"/>
    <w:basedOn w:val="Tabelanormal"/>
    <w:uiPriority w:val="39"/>
    <w:rsid w:val="00CA7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rsid w:val="00D05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2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A776-6563-4850-A5B9-7E5E880B3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3304</Words>
  <Characters>17843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Rafael</dc:creator>
  <cp:lastModifiedBy>Lohan dos Santos Mota</cp:lastModifiedBy>
  <cp:revision>2</cp:revision>
  <dcterms:created xsi:type="dcterms:W3CDTF">2023-09-02T18:46:00Z</dcterms:created>
  <dcterms:modified xsi:type="dcterms:W3CDTF">2023-09-02T18:46:00Z</dcterms:modified>
</cp:coreProperties>
</file>