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3B9E" w14:textId="77777777" w:rsidR="004767F5" w:rsidRDefault="00291592">
      <w:pPr>
        <w:spacing w:after="200" w:line="240" w:lineRule="auto"/>
        <w:jc w:val="right"/>
        <w:rPr>
          <w:rFonts w:cs="Calibri"/>
          <w:sz w:val="20"/>
          <w:szCs w:val="20"/>
        </w:rPr>
      </w:pPr>
      <w:r>
        <w:rPr>
          <w:rFonts w:cs="Calibri"/>
          <w:sz w:val="16"/>
          <w:szCs w:val="16"/>
        </w:rPr>
        <w:t>18.000.03329/2023- C3/ 2023-00140/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4767F5" w14:paraId="102EA6E8" w14:textId="77777777">
        <w:trPr>
          <w:tblCellSpacing w:w="0" w:type="dxa"/>
        </w:trPr>
        <w:tc>
          <w:tcPr>
            <w:tcW w:w="0" w:type="auto"/>
            <w:tcMar>
              <w:top w:w="0" w:type="dxa"/>
              <w:left w:w="0" w:type="dxa"/>
              <w:bottom w:w="0" w:type="dxa"/>
              <w:right w:w="0" w:type="dxa"/>
            </w:tcMar>
            <w:vAlign w:val="center"/>
            <w:hideMark/>
          </w:tcPr>
          <w:p w14:paraId="32701050" w14:textId="77777777" w:rsidR="004767F5" w:rsidRDefault="00291592">
            <w:pPr>
              <w:spacing w:after="0" w:line="240" w:lineRule="auto"/>
              <w:jc w:val="center"/>
              <w:rPr>
                <w:rFonts w:cs="Calibri"/>
                <w:color w:val="000000"/>
                <w:sz w:val="24"/>
                <w:szCs w:val="24"/>
              </w:rPr>
            </w:pPr>
            <w:r>
              <w:rPr>
                <w:rFonts w:cs="Calibri"/>
                <w:noProof/>
                <w:color w:val="000000"/>
                <w:sz w:val="24"/>
                <w:szCs w:val="24"/>
              </w:rPr>
              <w:drawing>
                <wp:inline distT="0" distB="0" distL="0" distR="0" wp14:anchorId="2A2508D3" wp14:editId="69D058FF">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68C5BD96" w14:textId="77777777" w:rsidR="004767F5" w:rsidRDefault="00291592">
      <w:pPr>
        <w:spacing w:after="200" w:line="240" w:lineRule="auto"/>
        <w:jc w:val="both"/>
        <w:rPr>
          <w:rFonts w:cs="Calibri"/>
          <w:sz w:val="20"/>
          <w:szCs w:val="20"/>
        </w:rPr>
      </w:pPr>
      <w:r>
        <w:rPr>
          <w:rFonts w:cs="Calibri"/>
          <w:sz w:val="20"/>
          <w:szCs w:val="20"/>
        </w:rPr>
        <w:t> </w:t>
      </w:r>
    </w:p>
    <w:p w14:paraId="05072340" w14:textId="77777777" w:rsidR="004767F5" w:rsidRDefault="00291592">
      <w:pPr>
        <w:spacing w:before="200" w:after="200" w:line="240" w:lineRule="auto"/>
        <w:jc w:val="both"/>
        <w:rPr>
          <w:rFonts w:cs="Calibri"/>
          <w:sz w:val="20"/>
          <w:szCs w:val="20"/>
        </w:rPr>
      </w:pPr>
      <w:r>
        <w:rPr>
          <w:rFonts w:cs="Calibri"/>
          <w:sz w:val="20"/>
          <w:szCs w:val="20"/>
        </w:rPr>
        <w:t> </w:t>
      </w:r>
    </w:p>
    <w:p w14:paraId="7DDFF61C" w14:textId="77777777" w:rsidR="004767F5" w:rsidRDefault="00291592">
      <w:pPr>
        <w:spacing w:before="200" w:after="200" w:line="240" w:lineRule="auto"/>
        <w:jc w:val="both"/>
        <w:rPr>
          <w:rFonts w:cs="Calibri"/>
          <w:sz w:val="20"/>
          <w:szCs w:val="20"/>
        </w:rPr>
      </w:pPr>
      <w:r>
        <w:rPr>
          <w:rFonts w:cs="Calibri"/>
          <w:sz w:val="20"/>
          <w:szCs w:val="20"/>
        </w:rPr>
        <w:t> </w:t>
      </w:r>
    </w:p>
    <w:p w14:paraId="13F1824A" w14:textId="77777777" w:rsidR="004767F5" w:rsidRDefault="00291592">
      <w:pPr>
        <w:spacing w:before="200" w:after="200" w:line="240" w:lineRule="auto"/>
        <w:jc w:val="center"/>
        <w:rPr>
          <w:rFonts w:cs="Calibri"/>
          <w:sz w:val="20"/>
          <w:szCs w:val="20"/>
        </w:rPr>
      </w:pPr>
      <w:r>
        <w:rPr>
          <w:rFonts w:cs="Calibri"/>
          <w:sz w:val="20"/>
          <w:szCs w:val="20"/>
        </w:rPr>
        <w:t> </w:t>
      </w:r>
    </w:p>
    <w:p w14:paraId="33201CF0" w14:textId="77777777" w:rsidR="004767F5" w:rsidRDefault="00291592">
      <w:pPr>
        <w:spacing w:before="200" w:after="200" w:line="240" w:lineRule="auto"/>
        <w:jc w:val="both"/>
        <w:rPr>
          <w:rFonts w:cs="Calibri"/>
          <w:sz w:val="20"/>
          <w:szCs w:val="20"/>
        </w:rPr>
      </w:pPr>
      <w:r>
        <w:rPr>
          <w:rFonts w:cs="Calibri"/>
          <w:sz w:val="20"/>
          <w:szCs w:val="20"/>
        </w:rPr>
        <w:t> </w:t>
      </w:r>
    </w:p>
    <w:p w14:paraId="7202E4AC" w14:textId="77777777" w:rsidR="004767F5" w:rsidRDefault="00291592">
      <w:pPr>
        <w:spacing w:before="200" w:after="200" w:line="240" w:lineRule="auto"/>
        <w:jc w:val="both"/>
        <w:rPr>
          <w:rFonts w:cs="Calibri"/>
          <w:sz w:val="20"/>
          <w:szCs w:val="20"/>
        </w:rPr>
      </w:pPr>
      <w:r>
        <w:rPr>
          <w:rFonts w:cs="Calibri"/>
          <w:sz w:val="20"/>
          <w:szCs w:val="20"/>
        </w:rPr>
        <w:t> </w:t>
      </w:r>
    </w:p>
    <w:p w14:paraId="740B913E" w14:textId="77777777" w:rsidR="004767F5" w:rsidRDefault="00291592">
      <w:pPr>
        <w:spacing w:before="200" w:after="200" w:line="240" w:lineRule="auto"/>
        <w:jc w:val="both"/>
        <w:rPr>
          <w:rFonts w:cs="Calibri"/>
          <w:sz w:val="20"/>
          <w:szCs w:val="20"/>
        </w:rPr>
      </w:pPr>
      <w:r>
        <w:rPr>
          <w:rFonts w:cs="Calibri"/>
          <w:sz w:val="20"/>
          <w:szCs w:val="20"/>
        </w:rPr>
        <w:t> </w:t>
      </w:r>
    </w:p>
    <w:p w14:paraId="7ACFF3FA" w14:textId="1DA938FA" w:rsidR="004767F5" w:rsidRDefault="00291592">
      <w:pPr>
        <w:spacing w:before="200" w:after="200" w:line="240" w:lineRule="auto"/>
        <w:rPr>
          <w:rFonts w:cs="Calibri"/>
          <w:sz w:val="20"/>
          <w:szCs w:val="20"/>
        </w:rPr>
      </w:pPr>
      <w:r>
        <w:rPr>
          <w:rFonts w:cs="Calibri"/>
          <w:b/>
          <w:bCs/>
        </w:rPr>
        <w:t xml:space="preserve">EXMO. SR. DR. JUIZ FEDERAL DA </w:t>
      </w:r>
      <w:r w:rsidR="006B1470">
        <w:rPr>
          <w:rFonts w:cs="Calibri"/>
          <w:b/>
          <w:bCs/>
        </w:rPr>
        <w:t>2</w:t>
      </w:r>
      <w:r>
        <w:rPr>
          <w:rFonts w:cs="Calibri"/>
          <w:b/>
          <w:bCs/>
        </w:rPr>
        <w:t xml:space="preserve">ª VARA FEDERAL DA SUBSEÇÃO DE </w:t>
      </w:r>
      <w:r w:rsidR="006B1470">
        <w:rPr>
          <w:rFonts w:cs="Calibri"/>
          <w:b/>
          <w:bCs/>
        </w:rPr>
        <w:t>URUGUAIANA</w:t>
      </w:r>
      <w:r>
        <w:rPr>
          <w:rFonts w:cs="Calibri"/>
          <w:b/>
          <w:bCs/>
        </w:rPr>
        <w:t xml:space="preserve"> – SEÇÃO JUDICIÁRIA DO RIO GRANDE DO SUL</w:t>
      </w:r>
    </w:p>
    <w:p w14:paraId="16CFB2C9" w14:textId="77777777" w:rsidR="004767F5" w:rsidRDefault="00291592">
      <w:pPr>
        <w:spacing w:before="200" w:after="200" w:line="240" w:lineRule="auto"/>
        <w:jc w:val="both"/>
        <w:rPr>
          <w:rFonts w:cs="Calibri"/>
          <w:sz w:val="20"/>
          <w:szCs w:val="20"/>
        </w:rPr>
      </w:pPr>
      <w:r>
        <w:rPr>
          <w:rFonts w:cs="Calibri"/>
          <w:sz w:val="20"/>
          <w:szCs w:val="20"/>
        </w:rPr>
        <w:t> </w:t>
      </w:r>
    </w:p>
    <w:p w14:paraId="390A9153" w14:textId="77777777" w:rsidR="004767F5" w:rsidRDefault="00291592">
      <w:pPr>
        <w:spacing w:before="200" w:after="200" w:line="240" w:lineRule="auto"/>
        <w:jc w:val="both"/>
        <w:rPr>
          <w:rFonts w:cs="Calibri"/>
          <w:sz w:val="20"/>
          <w:szCs w:val="20"/>
        </w:rPr>
      </w:pPr>
      <w:r>
        <w:rPr>
          <w:rFonts w:cs="Calibri"/>
          <w:sz w:val="20"/>
          <w:szCs w:val="20"/>
        </w:rPr>
        <w:t> </w:t>
      </w:r>
    </w:p>
    <w:p w14:paraId="657601DB" w14:textId="77777777" w:rsidR="004767F5" w:rsidRDefault="00291592">
      <w:pPr>
        <w:spacing w:before="200" w:after="200" w:line="240" w:lineRule="auto"/>
        <w:jc w:val="both"/>
        <w:rPr>
          <w:rFonts w:cs="Calibri"/>
          <w:sz w:val="20"/>
          <w:szCs w:val="20"/>
        </w:rPr>
      </w:pPr>
      <w:r>
        <w:rPr>
          <w:rFonts w:cs="Calibri"/>
          <w:sz w:val="20"/>
          <w:szCs w:val="20"/>
        </w:rPr>
        <w:t> </w:t>
      </w:r>
    </w:p>
    <w:p w14:paraId="7B320D31" w14:textId="75F3619A" w:rsidR="004767F5" w:rsidRDefault="00291592">
      <w:pPr>
        <w:spacing w:before="200" w:after="200" w:line="240" w:lineRule="auto"/>
        <w:jc w:val="both"/>
        <w:rPr>
          <w:rFonts w:cs="Calibri"/>
          <w:sz w:val="20"/>
          <w:szCs w:val="20"/>
        </w:rPr>
      </w:pPr>
      <w:r>
        <w:rPr>
          <w:rFonts w:cs="Calibri"/>
          <w:b/>
          <w:bCs/>
          <w:sz w:val="20"/>
          <w:szCs w:val="20"/>
        </w:rPr>
        <w:t xml:space="preserve">Processo: </w:t>
      </w:r>
      <w:r w:rsidR="006A71F7">
        <w:t>5002994-77.2023.4.04.7107</w:t>
      </w:r>
      <w:r w:rsidR="006B1470" w:rsidRPr="006B1470">
        <w:rPr>
          <w:rFonts w:cs="Calibri"/>
          <w:b/>
          <w:bCs/>
          <w:sz w:val="20"/>
          <w:szCs w:val="20"/>
        </w:rPr>
        <w:tab/>
      </w:r>
    </w:p>
    <w:p w14:paraId="2A10DF5F" w14:textId="36D62CEF" w:rsidR="004767F5" w:rsidRDefault="00291592" w:rsidP="006B1470">
      <w:pPr>
        <w:spacing w:after="200" w:line="240" w:lineRule="auto"/>
        <w:rPr>
          <w:rFonts w:cs="Calibri"/>
          <w:sz w:val="20"/>
          <w:szCs w:val="20"/>
        </w:rPr>
      </w:pPr>
      <w:r>
        <w:rPr>
          <w:rFonts w:cs="Calibri"/>
          <w:sz w:val="20"/>
          <w:szCs w:val="20"/>
        </w:rPr>
        <w:t> </w:t>
      </w:r>
    </w:p>
    <w:p w14:paraId="6455FDDA" w14:textId="77777777" w:rsidR="004767F5" w:rsidRDefault="00291592">
      <w:pPr>
        <w:spacing w:before="200" w:after="200" w:line="240" w:lineRule="auto"/>
        <w:rPr>
          <w:rFonts w:cs="Calibri"/>
          <w:sz w:val="20"/>
          <w:szCs w:val="20"/>
        </w:rPr>
      </w:pPr>
      <w:r>
        <w:rPr>
          <w:rFonts w:cs="Calibri"/>
          <w:sz w:val="20"/>
          <w:szCs w:val="20"/>
        </w:rPr>
        <w:t> </w:t>
      </w:r>
    </w:p>
    <w:p w14:paraId="51F872D4" w14:textId="77777777" w:rsidR="004767F5" w:rsidRDefault="00291592">
      <w:pPr>
        <w:spacing w:before="200" w:after="200" w:line="240" w:lineRule="auto"/>
        <w:rPr>
          <w:rFonts w:cs="Calibri"/>
          <w:sz w:val="20"/>
          <w:szCs w:val="20"/>
        </w:rPr>
      </w:pPr>
      <w:r>
        <w:rPr>
          <w:rFonts w:cs="Calibri"/>
          <w:sz w:val="20"/>
          <w:szCs w:val="20"/>
        </w:rPr>
        <w:t> </w:t>
      </w:r>
    </w:p>
    <w:p w14:paraId="435A18AA" w14:textId="58ADF20F" w:rsidR="004767F5" w:rsidRDefault="006B1470">
      <w:pPr>
        <w:spacing w:before="200" w:after="200" w:line="240" w:lineRule="auto"/>
        <w:ind w:firstLine="1701"/>
        <w:jc w:val="both"/>
        <w:rPr>
          <w:rFonts w:cs="Calibri"/>
          <w:sz w:val="20"/>
          <w:szCs w:val="20"/>
        </w:rPr>
      </w:pPr>
      <w:r w:rsidRPr="006B1470">
        <w:rPr>
          <w:b/>
          <w:bCs/>
        </w:rPr>
        <w:t>CAIXA ECONÔMICA FEDERAL – CEF</w:t>
      </w:r>
      <w:r>
        <w:t>, instituição financeira sob a forma de empresa pública, inscrita no CGC/MF sob n.º 00.360.305/1780-00, com sede em Brasília/DF e Escritório de Negócios neste Estado, com endereço na Rua dos Andradas, n.º 1000, em Porto Alegre/RS,</w:t>
      </w:r>
      <w:r w:rsidR="00291592" w:rsidRPr="00E54F07">
        <w:rPr>
          <w:rFonts w:cs="Calibri"/>
        </w:rPr>
        <w:t xml:space="preserve">, onde recebe citações, intimações e notificações de estilo, por seu advogado que esta subscreve, mandato incluso nos autos da </w:t>
      </w:r>
      <w:r w:rsidR="00291592" w:rsidRPr="00E54F07">
        <w:rPr>
          <w:rFonts w:cs="Calibri"/>
          <w:b/>
          <w:bCs/>
          <w:i/>
          <w:iCs/>
        </w:rPr>
        <w:t xml:space="preserve">AÇÃO DE </w:t>
      </w:r>
      <w:r>
        <w:rPr>
          <w:rFonts w:cs="Calibri"/>
          <w:b/>
          <w:bCs/>
          <w:i/>
          <w:iCs/>
        </w:rPr>
        <w:t>INDENIZAÇÃO POR DANOS MATERIAIS E MORAIS</w:t>
      </w:r>
      <w:r w:rsidR="00291592" w:rsidRPr="00E54F07">
        <w:rPr>
          <w:rFonts w:cs="Calibri"/>
          <w:b/>
          <w:bCs/>
          <w:i/>
          <w:iCs/>
        </w:rPr>
        <w:t xml:space="preserve">, </w:t>
      </w:r>
      <w:r w:rsidR="00291592" w:rsidRPr="00E54F07">
        <w:rPr>
          <w:rFonts w:cs="Calibri"/>
        </w:rPr>
        <w:t>que lhe promove</w:t>
      </w:r>
      <w:r w:rsidR="00291592">
        <w:rPr>
          <w:rFonts w:cs="Calibri"/>
        </w:rPr>
        <w:t xml:space="preserve"> </w:t>
      </w:r>
      <w:r>
        <w:rPr>
          <w:rFonts w:cs="Calibri"/>
          <w:b/>
          <w:bCs/>
        </w:rPr>
        <w:t>CARINA DOS REIS DO AMARAL</w:t>
      </w:r>
      <w:r w:rsidR="00291592">
        <w:rPr>
          <w:rFonts w:cs="Calibri"/>
        </w:rPr>
        <w:t xml:space="preserve">, em trâmite perante este Douto Juízo, vem, </w:t>
      </w:r>
      <w:r w:rsidR="00291592">
        <w:rPr>
          <w:rFonts w:cs="Calibri"/>
          <w:i/>
          <w:iCs/>
        </w:rPr>
        <w:t>mui</w:t>
      </w:r>
      <w:r w:rsidR="00291592">
        <w:rPr>
          <w:rFonts w:cs="Calibri"/>
        </w:rPr>
        <w:t xml:space="preserve"> respeitosamente, à presença de Vossa Excelência, apresentar</w:t>
      </w:r>
    </w:p>
    <w:p w14:paraId="72710FF1" w14:textId="77777777" w:rsidR="004767F5" w:rsidRDefault="00291592">
      <w:pPr>
        <w:spacing w:before="200" w:after="200" w:line="240" w:lineRule="auto"/>
        <w:jc w:val="center"/>
        <w:rPr>
          <w:rFonts w:cs="Calibri"/>
          <w:sz w:val="20"/>
          <w:szCs w:val="20"/>
        </w:rPr>
      </w:pPr>
      <w:r>
        <w:rPr>
          <w:rFonts w:cs="Calibri"/>
          <w:b/>
          <w:bCs/>
        </w:rPr>
        <w:t>C O N T E S T A Ç Ã O</w:t>
      </w:r>
    </w:p>
    <w:p w14:paraId="767D76C0" w14:textId="77777777" w:rsidR="004767F5" w:rsidRDefault="00291592">
      <w:pPr>
        <w:spacing w:before="200" w:after="200" w:line="240" w:lineRule="auto"/>
        <w:jc w:val="both"/>
        <w:rPr>
          <w:rFonts w:cs="Calibri"/>
          <w:sz w:val="20"/>
          <w:szCs w:val="20"/>
        </w:rPr>
      </w:pPr>
      <w:r>
        <w:rPr>
          <w:rFonts w:cs="Calibri"/>
        </w:rPr>
        <w:t>Consoante às razões de fato e de direito que passa a expor</w:t>
      </w:r>
    </w:p>
    <w:p w14:paraId="46419AA9" w14:textId="77777777" w:rsidR="004767F5" w:rsidRDefault="00291592">
      <w:pPr>
        <w:spacing w:before="200" w:after="200" w:line="240" w:lineRule="auto"/>
        <w:jc w:val="center"/>
        <w:rPr>
          <w:rFonts w:cs="Calibri"/>
          <w:sz w:val="20"/>
          <w:szCs w:val="20"/>
        </w:rPr>
      </w:pPr>
      <w:r>
        <w:rPr>
          <w:rFonts w:cs="Calibri"/>
          <w:b/>
          <w:bCs/>
          <w:u w:val="single"/>
        </w:rPr>
        <w:t>BREVE SÍNTESE DA DEMANDA</w:t>
      </w:r>
    </w:p>
    <w:p w14:paraId="49CFE144" w14:textId="77777777" w:rsidR="006B1470" w:rsidRDefault="006B1470">
      <w:pPr>
        <w:spacing w:before="200" w:after="200" w:line="240" w:lineRule="auto"/>
        <w:jc w:val="both"/>
      </w:pPr>
      <w:r>
        <w:t xml:space="preserve">Trata-se de ação onde a parte autora narra que celebrou contrato de financiamento imobiliário junto à CAIXA, para aquisição de unidade habitacional. Alega que a construção foi executada sem a observância de normas básicas e com a utilização de materiais de má qualidade, motivo pela qual aduz que existem danos físicos no imóvel. </w:t>
      </w:r>
    </w:p>
    <w:p w14:paraId="2A95EE11" w14:textId="77777777" w:rsidR="006B1470" w:rsidRDefault="006B1470">
      <w:pPr>
        <w:spacing w:before="200" w:after="200" w:line="240" w:lineRule="auto"/>
        <w:jc w:val="both"/>
      </w:pPr>
    </w:p>
    <w:p w14:paraId="67D33E2E" w14:textId="552C0190" w:rsidR="006B1470" w:rsidRDefault="006B1470">
      <w:pPr>
        <w:spacing w:before="200" w:after="200" w:line="240" w:lineRule="auto"/>
        <w:jc w:val="both"/>
      </w:pPr>
      <w:r>
        <w:t xml:space="preserve">Assim, requer, liminarmente, a inversão do ônus da prova e a produção de prova pericial; no mérito, requer a condenação da parte ré ao pagamento de indenização por danos morais e ao pagamento de indenização por danos materiais (aluguel ou hotel, mudança, recuperação do imóvel, depreciação). </w:t>
      </w:r>
    </w:p>
    <w:p w14:paraId="1D9C0A72" w14:textId="77777777" w:rsidR="006B1470" w:rsidRDefault="006B1470">
      <w:pPr>
        <w:spacing w:before="200" w:after="200" w:line="240" w:lineRule="auto"/>
        <w:jc w:val="both"/>
      </w:pPr>
    </w:p>
    <w:p w14:paraId="0C67EA44" w14:textId="2E055509" w:rsidR="004767F5" w:rsidRDefault="006B1470">
      <w:pPr>
        <w:spacing w:before="200" w:after="200" w:line="240" w:lineRule="auto"/>
        <w:jc w:val="both"/>
        <w:rPr>
          <w:rFonts w:cs="Calibri"/>
          <w:sz w:val="20"/>
          <w:szCs w:val="20"/>
        </w:rPr>
      </w:pPr>
      <w:r>
        <w:t>Entretanto, conforme será demonstrado nos itens que seguem, os pedidos da parte autora mostram-se absolutamente equivocados, razão pela qual a presente ação deve ser julgada improcedente, o que, desde já, se requer</w:t>
      </w:r>
      <w:r w:rsidR="00291592">
        <w:rPr>
          <w:rFonts w:cs="Calibri"/>
          <w:sz w:val="20"/>
          <w:szCs w:val="20"/>
        </w:rPr>
        <w:t> </w:t>
      </w:r>
    </w:p>
    <w:p w14:paraId="4BA1A6F6" w14:textId="77777777" w:rsidR="006B1470" w:rsidRDefault="006B1470">
      <w:pPr>
        <w:spacing w:before="200" w:after="200" w:line="240" w:lineRule="auto"/>
        <w:jc w:val="both"/>
        <w:rPr>
          <w:rFonts w:cs="Calibri"/>
          <w:sz w:val="20"/>
          <w:szCs w:val="20"/>
        </w:rPr>
      </w:pPr>
    </w:p>
    <w:p w14:paraId="734B76F4" w14:textId="77777777" w:rsidR="006B1470" w:rsidRDefault="006B1470">
      <w:pPr>
        <w:spacing w:before="200" w:after="200" w:line="240" w:lineRule="auto"/>
        <w:jc w:val="both"/>
        <w:rPr>
          <w:rFonts w:cs="Calibri"/>
          <w:sz w:val="20"/>
          <w:szCs w:val="20"/>
        </w:rPr>
      </w:pPr>
    </w:p>
    <w:p w14:paraId="1D7EEB22" w14:textId="77777777" w:rsidR="006B1470" w:rsidRDefault="006B1470">
      <w:pPr>
        <w:spacing w:before="200" w:after="200" w:line="240" w:lineRule="auto"/>
        <w:jc w:val="both"/>
        <w:rPr>
          <w:rFonts w:cs="Calibri"/>
          <w:sz w:val="20"/>
          <w:szCs w:val="20"/>
        </w:rPr>
      </w:pPr>
    </w:p>
    <w:p w14:paraId="0992DE9D" w14:textId="77777777" w:rsidR="004767F5" w:rsidRDefault="00291592">
      <w:pPr>
        <w:spacing w:before="200" w:after="200" w:line="240" w:lineRule="auto"/>
        <w:jc w:val="center"/>
        <w:rPr>
          <w:rFonts w:cs="Calibri"/>
          <w:sz w:val="20"/>
          <w:szCs w:val="20"/>
        </w:rPr>
      </w:pPr>
      <w:r>
        <w:rPr>
          <w:rFonts w:cs="Calibri"/>
          <w:b/>
          <w:bCs/>
          <w:u w:val="single"/>
        </w:rPr>
        <w:t>PRELIMINARMENTE</w:t>
      </w:r>
    </w:p>
    <w:p w14:paraId="039BFBF0" w14:textId="77777777" w:rsidR="00291592" w:rsidRDefault="00291592" w:rsidP="006B1470">
      <w:pPr>
        <w:spacing w:before="200" w:after="200" w:line="240" w:lineRule="auto"/>
        <w:rPr>
          <w:rFonts w:cs="Calibri"/>
          <w:b/>
          <w:bCs/>
          <w:u w:val="single"/>
        </w:rPr>
      </w:pPr>
    </w:p>
    <w:p w14:paraId="5F8E0986" w14:textId="75A09C4E" w:rsidR="006B1470" w:rsidRPr="006B1470" w:rsidRDefault="006B1470" w:rsidP="006B1470">
      <w:pPr>
        <w:spacing w:before="200" w:after="200" w:line="240" w:lineRule="auto"/>
        <w:jc w:val="center"/>
        <w:rPr>
          <w:b/>
          <w:bCs/>
          <w:u w:val="single"/>
        </w:rPr>
      </w:pPr>
      <w:r w:rsidRPr="006B1470">
        <w:rPr>
          <w:b/>
          <w:bCs/>
          <w:u w:val="single"/>
        </w:rPr>
        <w:t>AUSÊNCIA DE PRETENSÃO RESISTIDA</w:t>
      </w:r>
    </w:p>
    <w:p w14:paraId="75BD2E28" w14:textId="77777777" w:rsidR="006B1470" w:rsidRDefault="006B1470" w:rsidP="006B1470">
      <w:pPr>
        <w:spacing w:before="200" w:after="200" w:line="240" w:lineRule="auto"/>
      </w:pPr>
    </w:p>
    <w:p w14:paraId="6D0D4812" w14:textId="77777777" w:rsidR="006B1470" w:rsidRDefault="006B1470" w:rsidP="006B1470">
      <w:pPr>
        <w:spacing w:before="200" w:after="200" w:line="240" w:lineRule="auto"/>
        <w:jc w:val="both"/>
      </w:pPr>
      <w:r>
        <w:t xml:space="preserve">A CAIXA, quando toma conhecimento de vícios, registra e demanda a construtora responsável sobre as modificações e falhas construtivas, exige tempestivamente sua regularização, na obediência ao projeto e às características estabelecidas nos memoriais. Cobra providências da construtora, seja por meio de contatos telefônicos com os seus responsáveis, seja em reuniões com o engenheiro responsável técnico pelas obras e, ainda, mediante expedientes formais em correspondência com a construtora. </w:t>
      </w:r>
    </w:p>
    <w:p w14:paraId="677FF7FB" w14:textId="77777777" w:rsidR="006B1470" w:rsidRDefault="006B1470" w:rsidP="006B1470">
      <w:pPr>
        <w:spacing w:before="200" w:after="200" w:line="240" w:lineRule="auto"/>
        <w:jc w:val="both"/>
      </w:pPr>
    </w:p>
    <w:p w14:paraId="4834AE79" w14:textId="3192CAEF" w:rsidR="006B1470" w:rsidRDefault="006B1470" w:rsidP="006B1470">
      <w:pPr>
        <w:spacing w:before="200" w:after="200" w:line="240" w:lineRule="auto"/>
        <w:jc w:val="both"/>
      </w:pPr>
      <w:r>
        <w:t>Tratando–se de vícios construtivos, a CAIXA encaminha, em seguida à constatação dos danos físicos, notificação formal à construtora, seus sócios e responsáveis técnicos, fornecendo prazo de 20 (vinte) dias para manifestação quanto à recuperação do empreendimento/imóvel. Sem prévio requerimento administrativo e, consequentemente, sem pretensão resistida, não há razões que justifiquem a necessidade de intervenção judicial, devendo ser o processo extinto</w:t>
      </w:r>
    </w:p>
    <w:p w14:paraId="03A3D688" w14:textId="77777777" w:rsidR="006B1470" w:rsidRDefault="006B1470" w:rsidP="006B1470">
      <w:pPr>
        <w:spacing w:before="200" w:after="200" w:line="240" w:lineRule="auto"/>
        <w:jc w:val="both"/>
      </w:pPr>
    </w:p>
    <w:p w14:paraId="59CED9A5" w14:textId="77777777" w:rsidR="006B1470" w:rsidRDefault="006B1470" w:rsidP="006B1470">
      <w:pPr>
        <w:spacing w:before="200" w:after="200" w:line="240" w:lineRule="auto"/>
        <w:jc w:val="both"/>
      </w:pPr>
    </w:p>
    <w:p w14:paraId="56A32580" w14:textId="1E891C7A" w:rsidR="006B1470" w:rsidRPr="007B689A" w:rsidRDefault="006B1470" w:rsidP="007B689A">
      <w:pPr>
        <w:spacing w:before="200" w:after="200" w:line="240" w:lineRule="auto"/>
        <w:jc w:val="center"/>
        <w:rPr>
          <w:b/>
          <w:bCs/>
          <w:u w:val="single"/>
        </w:rPr>
      </w:pPr>
      <w:r w:rsidRPr="007B689A">
        <w:rPr>
          <w:b/>
          <w:bCs/>
          <w:u w:val="single"/>
        </w:rPr>
        <w:t>AUSÊNCIA DE PROVA MÍNIMA – ART. 373, I, CPC</w:t>
      </w:r>
    </w:p>
    <w:p w14:paraId="4A86AE14" w14:textId="77777777" w:rsidR="006B1470" w:rsidRDefault="006B1470" w:rsidP="006B1470">
      <w:pPr>
        <w:spacing w:before="200" w:after="200" w:line="240" w:lineRule="auto"/>
        <w:jc w:val="both"/>
      </w:pPr>
    </w:p>
    <w:p w14:paraId="0F2BE5C0" w14:textId="77777777" w:rsidR="006B1470" w:rsidRDefault="006B1470" w:rsidP="006B1470">
      <w:pPr>
        <w:spacing w:before="200" w:after="200" w:line="240" w:lineRule="auto"/>
        <w:jc w:val="both"/>
      </w:pPr>
      <w:r>
        <w:t xml:space="preserve">Foram recepcionados diversos processos judiciais referentes aos empreendimentos PMCMV, com petições iniciais praticamente idênticas, com argumentação tecnicamente incipiente e sem aprofundamento ou comprovação das alegações de vício ou caracterização da situação de cada unidade habitacional, numa aparente tentativa de execução massiva de ações genéricas. </w:t>
      </w:r>
    </w:p>
    <w:p w14:paraId="4E0E9FF5" w14:textId="77777777" w:rsidR="006B1470" w:rsidRDefault="006B1470" w:rsidP="006B1470">
      <w:pPr>
        <w:spacing w:before="200" w:after="200" w:line="240" w:lineRule="auto"/>
        <w:jc w:val="both"/>
      </w:pPr>
    </w:p>
    <w:p w14:paraId="0D80763D" w14:textId="77777777" w:rsidR="006B1470" w:rsidRDefault="006B1470" w:rsidP="006B1470">
      <w:pPr>
        <w:spacing w:before="200" w:after="200" w:line="240" w:lineRule="auto"/>
        <w:jc w:val="both"/>
      </w:pPr>
      <w:r>
        <w:t xml:space="preserve">Analisando os autos, verifica-se que a parte autora não fornece elementos mínimos necessários à propositura e prosseguimento da ação, ônus previsto no art. 373, inciso I, do CPC. </w:t>
      </w:r>
    </w:p>
    <w:p w14:paraId="2C54D03D" w14:textId="77777777" w:rsidR="006B1470" w:rsidRDefault="006B1470" w:rsidP="006B1470">
      <w:pPr>
        <w:spacing w:before="200" w:after="200" w:line="240" w:lineRule="auto"/>
        <w:jc w:val="both"/>
      </w:pPr>
    </w:p>
    <w:p w14:paraId="5A28072B" w14:textId="77777777" w:rsidR="007B689A" w:rsidRDefault="006B1470" w:rsidP="006B1470">
      <w:pPr>
        <w:spacing w:before="200" w:after="200" w:line="240" w:lineRule="auto"/>
        <w:jc w:val="both"/>
      </w:pPr>
      <w:r>
        <w:t>Não é apresentado laudo técnico e não há qualquer orçamento ou detalhamento dos danos. Apenas foram anexados insuficientes registros fotográficos</w:t>
      </w:r>
      <w:r w:rsidR="007B689A">
        <w:t xml:space="preserve"> que não se confirmam ser do imóvel objeto da ação e não permitem a caracterização adequada dos defeitos alegados. </w:t>
      </w:r>
    </w:p>
    <w:p w14:paraId="617BB4C4" w14:textId="77777777" w:rsidR="007B689A" w:rsidRDefault="007B689A" w:rsidP="006B1470">
      <w:pPr>
        <w:spacing w:before="200" w:after="200" w:line="240" w:lineRule="auto"/>
        <w:jc w:val="both"/>
      </w:pPr>
    </w:p>
    <w:p w14:paraId="29769307" w14:textId="56C82555" w:rsidR="007B689A" w:rsidRDefault="007B689A" w:rsidP="006B1470">
      <w:pPr>
        <w:spacing w:before="200" w:after="200" w:line="240" w:lineRule="auto"/>
        <w:jc w:val="both"/>
      </w:pPr>
      <w:r>
        <w:t xml:space="preserve">Ademais, essa falta de laudo técnico com orçamento detalhado faz com que o pedido da parte autora não seja certo e determinado, não atendendo às exigências dos artigos 322 e 324 do CPC. </w:t>
      </w:r>
    </w:p>
    <w:p w14:paraId="43E59038" w14:textId="77777777" w:rsidR="007B689A" w:rsidRDefault="007B689A" w:rsidP="006B1470">
      <w:pPr>
        <w:spacing w:before="200" w:after="200" w:line="240" w:lineRule="auto"/>
        <w:jc w:val="both"/>
      </w:pPr>
    </w:p>
    <w:p w14:paraId="2B913A38" w14:textId="33539B38" w:rsidR="006B1470" w:rsidRDefault="007B689A" w:rsidP="006B1470">
      <w:pPr>
        <w:spacing w:before="200" w:after="200" w:line="240" w:lineRule="auto"/>
        <w:jc w:val="both"/>
      </w:pPr>
      <w:r>
        <w:t>Assim, pela falta de fundamentação e sequer caracterização das condições da unidade habitacional objeto da ação, bem como diante da ausência de prova mínima dos fatos em que se sustentam as pretensões da parte autora, sendo que tal meio não lhe é impossível, requer-se a total improcedência da presente ação.</w:t>
      </w:r>
    </w:p>
    <w:p w14:paraId="77BD4197" w14:textId="77777777" w:rsidR="00291592" w:rsidRDefault="00291592" w:rsidP="007B689A">
      <w:pPr>
        <w:spacing w:before="200" w:after="200" w:line="240" w:lineRule="auto"/>
        <w:rPr>
          <w:rFonts w:cs="Calibri"/>
          <w:b/>
          <w:bCs/>
          <w:u w:val="single"/>
        </w:rPr>
      </w:pPr>
    </w:p>
    <w:p w14:paraId="11750EE5" w14:textId="77777777" w:rsidR="007B689A" w:rsidRDefault="007B689A" w:rsidP="007B689A">
      <w:pPr>
        <w:spacing w:before="200" w:after="200" w:line="240" w:lineRule="auto"/>
        <w:rPr>
          <w:rFonts w:cs="Calibri"/>
          <w:b/>
          <w:bCs/>
          <w:u w:val="single"/>
        </w:rPr>
      </w:pPr>
    </w:p>
    <w:p w14:paraId="5E883B09" w14:textId="738C259F" w:rsidR="007B689A" w:rsidRPr="007B689A" w:rsidRDefault="007B689A" w:rsidP="007B689A">
      <w:pPr>
        <w:spacing w:before="200" w:after="200" w:line="240" w:lineRule="auto"/>
        <w:jc w:val="center"/>
        <w:rPr>
          <w:b/>
          <w:bCs/>
          <w:u w:val="single"/>
        </w:rPr>
      </w:pPr>
      <w:r w:rsidRPr="007B689A">
        <w:rPr>
          <w:b/>
          <w:bCs/>
          <w:u w:val="single"/>
        </w:rPr>
        <w:t>CDC – INAPLICABILIDADE NO CASO CONCRETO</w:t>
      </w:r>
    </w:p>
    <w:p w14:paraId="5FB216EA" w14:textId="77777777" w:rsidR="007B689A" w:rsidRDefault="007B689A" w:rsidP="007B689A">
      <w:pPr>
        <w:spacing w:before="200" w:after="200" w:line="240" w:lineRule="auto"/>
      </w:pPr>
    </w:p>
    <w:p w14:paraId="2325932F" w14:textId="77777777" w:rsidR="007B689A" w:rsidRDefault="007B689A" w:rsidP="007B689A">
      <w:pPr>
        <w:spacing w:before="200" w:after="200" w:line="240" w:lineRule="auto"/>
      </w:pPr>
    </w:p>
    <w:p w14:paraId="3A108B8C" w14:textId="77777777" w:rsidR="007B689A" w:rsidRDefault="007B689A" w:rsidP="007B689A">
      <w:pPr>
        <w:spacing w:before="200" w:after="200" w:line="240" w:lineRule="auto"/>
        <w:jc w:val="both"/>
      </w:pPr>
      <w:r>
        <w:t xml:space="preserve">O contrato objeto da presente lide envolve fundo institucional, mais especificamente o FAR – Fundo de Arrendamento Residencial, como se depreende de toda a narrativa. </w:t>
      </w:r>
    </w:p>
    <w:p w14:paraId="7DE1F311" w14:textId="77777777" w:rsidR="007B689A" w:rsidRDefault="007B689A" w:rsidP="007B689A">
      <w:pPr>
        <w:spacing w:before="200" w:after="200" w:line="240" w:lineRule="auto"/>
        <w:jc w:val="both"/>
      </w:pPr>
      <w:r>
        <w:t xml:space="preserve">Em sendo assim, as prerrogativas dispostas no Código do Consumidor não lhe são aplicáveis. Não se pode esquecer que referido diploma legal, em seu artigo 2º, define consumidor como aquela pessoa que adquire produto ou serviço, sendo que os substituídos não se enquadram na figura de consumidor vulnerável que a lei visa a proteger. </w:t>
      </w:r>
    </w:p>
    <w:p w14:paraId="32FBDA8A" w14:textId="77777777" w:rsidR="007B689A" w:rsidRDefault="007B689A" w:rsidP="007B689A">
      <w:pPr>
        <w:spacing w:before="200" w:after="200" w:line="240" w:lineRule="auto"/>
        <w:jc w:val="both"/>
      </w:pPr>
      <w:r>
        <w:t xml:space="preserve">Ademais, o contrato em comento é regidos por normas imperativas de ordem pública, em virtude da sua própria natureza eminentemente social, quer pelas finalidades do programa em que se inserem, quer pela proveniência dos seus recursos, advindos do FAR, a eles não se aplicando o Código de Defesa do Consumidor. </w:t>
      </w:r>
    </w:p>
    <w:p w14:paraId="0D54000E" w14:textId="77777777" w:rsidR="007B689A" w:rsidRDefault="007B689A" w:rsidP="007B689A">
      <w:pPr>
        <w:spacing w:before="200" w:after="200" w:line="240" w:lineRule="auto"/>
        <w:jc w:val="both"/>
      </w:pPr>
      <w:r>
        <w:t xml:space="preserve">As normas que regulam o sistema não podem ser afastadas, por imposição legal. Assim, inaplicável ao caso o Código de Proteção e Defesa do Consumidor, nos termos pretendido (exceto para a seara processual), porquanto o programa em questão segue normas próprias, utilizando-se de recursos provenientes de fundo institucional. De qualquer sorte, cabe sinalar que as disposições contratuais em discussão não violam as leis de consumo, como se demonstrará ao longo da defesa. </w:t>
      </w:r>
    </w:p>
    <w:p w14:paraId="07FFA493" w14:textId="5607F36B" w:rsidR="007B689A" w:rsidRDefault="007B689A" w:rsidP="007B689A">
      <w:pPr>
        <w:spacing w:before="200" w:after="200" w:line="240" w:lineRule="auto"/>
        <w:jc w:val="both"/>
      </w:pPr>
      <w:r>
        <w:t>Por fim, cumpre transcrever trecho de decisão proferida pelo Juiz Federal Marcos Eduarte Reolon, da 24ª Vara Federal de Porto Alegre, a respeito do assunto:</w:t>
      </w:r>
    </w:p>
    <w:p w14:paraId="77E5051F" w14:textId="77777777" w:rsidR="007B689A" w:rsidRDefault="007B689A" w:rsidP="007B689A">
      <w:pPr>
        <w:spacing w:before="200" w:after="200" w:line="240" w:lineRule="auto"/>
        <w:jc w:val="both"/>
      </w:pPr>
    </w:p>
    <w:p w14:paraId="7DAD9142" w14:textId="59BB44B3" w:rsidR="007B689A" w:rsidRDefault="007B689A" w:rsidP="007B689A">
      <w:pPr>
        <w:spacing w:before="200" w:after="200" w:line="240" w:lineRule="auto"/>
        <w:ind w:left="2268"/>
        <w:jc w:val="both"/>
        <w:rPr>
          <w:rFonts w:cs="Calibri"/>
          <w:b/>
          <w:bCs/>
          <w:u w:val="single"/>
        </w:rPr>
      </w:pPr>
      <w:r>
        <w:t>No ponto, a atuação da CEF limita-se à realização de políticas públicas habitacionais implementadas pelo Governo Federal, razão pela qual não haveria que se falar, em princípio, na aplicação do CDC. Se a presente demanda controvertesse um contrato de financiamento, em que a Caixa atua como agente financeiro intermediador da realização da política pública, concorrendo, inclusive, com outros bancos que disputassem com ela a captação da clientela no mercado, aí sim poder-se-ia reconhecer, de pronto, a aplicabilidade da legislação consumerista. Contudo, na medida em que se questiona imóvel negociado no âmbito do FAR, com incidência de subvenção, a relação jurídica enfrentada é entre cidadão e Estado, sem a oferta de um serviço público, mas de um benefício, já que o fundo está vinculado ao Ministério das Cidades. Reconhecer, aqui, uma relação de consumo, redundaria em também reconhecer que outros Programas Governamentais, a exemplo do Bolsa Família, consubstanciariam uma relação de consumo, quando em verdade o cidadão não é consumidor de políticas públicas, mas, reitero, beneficiado pelo Estado por ostentar condição especial. É necessário acautelar-se para não vulgarizar a relação de consumo a todas as esferas do cidadão. Um benefício reconhecido pelo governo não tem caráter de serviço público, mas de política pública destinada ao atingimento do direito social à moradia, na situação dos autos, insculpido na Constituição de 1988.</w:t>
      </w:r>
    </w:p>
    <w:p w14:paraId="7C1777B8" w14:textId="77777777" w:rsidR="007B689A" w:rsidRDefault="007B689A" w:rsidP="007B689A">
      <w:pPr>
        <w:spacing w:before="200" w:after="200" w:line="240" w:lineRule="auto"/>
        <w:rPr>
          <w:rFonts w:cs="Calibri"/>
          <w:b/>
          <w:bCs/>
          <w:u w:val="single"/>
        </w:rPr>
      </w:pPr>
    </w:p>
    <w:p w14:paraId="61D6D172" w14:textId="77777777" w:rsidR="007B689A" w:rsidRDefault="007B689A" w:rsidP="007B689A">
      <w:pPr>
        <w:spacing w:before="200" w:after="200" w:line="240" w:lineRule="auto"/>
        <w:rPr>
          <w:rFonts w:cs="Calibri"/>
          <w:b/>
          <w:bCs/>
          <w:u w:val="single"/>
        </w:rPr>
      </w:pPr>
    </w:p>
    <w:p w14:paraId="416A0423" w14:textId="77777777" w:rsidR="007B689A" w:rsidRDefault="007B689A" w:rsidP="007B689A">
      <w:pPr>
        <w:spacing w:before="200" w:after="200" w:line="240" w:lineRule="auto"/>
        <w:rPr>
          <w:rFonts w:cs="Calibri"/>
          <w:b/>
          <w:bCs/>
          <w:u w:val="single"/>
        </w:rPr>
      </w:pPr>
    </w:p>
    <w:p w14:paraId="3C14652A" w14:textId="77777777" w:rsidR="007B689A" w:rsidRDefault="007B689A" w:rsidP="007B689A">
      <w:pPr>
        <w:spacing w:before="200" w:after="200" w:line="240" w:lineRule="auto"/>
        <w:rPr>
          <w:rFonts w:cs="Calibri"/>
          <w:b/>
          <w:bCs/>
          <w:u w:val="single"/>
        </w:rPr>
      </w:pPr>
    </w:p>
    <w:p w14:paraId="5F3F616F" w14:textId="77777777" w:rsidR="007B689A" w:rsidRDefault="007B689A" w:rsidP="007B689A">
      <w:pPr>
        <w:spacing w:before="200" w:after="200" w:line="240" w:lineRule="auto"/>
        <w:rPr>
          <w:rFonts w:cs="Calibri"/>
          <w:b/>
          <w:bCs/>
          <w:u w:val="single"/>
        </w:rPr>
      </w:pPr>
    </w:p>
    <w:p w14:paraId="472416D8" w14:textId="77777777" w:rsidR="007B689A" w:rsidRDefault="007B689A" w:rsidP="007B689A">
      <w:pPr>
        <w:spacing w:before="200" w:after="200" w:line="240" w:lineRule="auto"/>
        <w:rPr>
          <w:rFonts w:cs="Calibri"/>
          <w:b/>
          <w:bCs/>
          <w:u w:val="single"/>
        </w:rPr>
      </w:pPr>
    </w:p>
    <w:p w14:paraId="1AD0C1B8" w14:textId="77777777" w:rsidR="007B689A" w:rsidRDefault="007B689A" w:rsidP="007B689A">
      <w:pPr>
        <w:spacing w:before="200" w:after="200" w:line="240" w:lineRule="auto"/>
        <w:rPr>
          <w:rFonts w:cs="Calibri"/>
          <w:b/>
          <w:bCs/>
          <w:u w:val="single"/>
        </w:rPr>
      </w:pPr>
    </w:p>
    <w:p w14:paraId="686B8E66" w14:textId="77777777" w:rsidR="007B689A" w:rsidRDefault="007B689A" w:rsidP="007B689A">
      <w:pPr>
        <w:spacing w:before="200" w:after="200" w:line="240" w:lineRule="auto"/>
        <w:rPr>
          <w:rFonts w:cs="Calibri"/>
          <w:b/>
          <w:bCs/>
          <w:u w:val="single"/>
        </w:rPr>
      </w:pPr>
    </w:p>
    <w:p w14:paraId="1D3E54FE" w14:textId="0AFF9146" w:rsidR="007B689A" w:rsidRPr="007B689A" w:rsidRDefault="007B689A" w:rsidP="007B689A">
      <w:pPr>
        <w:spacing w:before="200" w:after="200" w:line="240" w:lineRule="auto"/>
        <w:jc w:val="center"/>
        <w:rPr>
          <w:b/>
          <w:bCs/>
          <w:u w:val="single"/>
        </w:rPr>
      </w:pPr>
      <w:r w:rsidRPr="007B689A">
        <w:rPr>
          <w:b/>
          <w:bCs/>
          <w:u w:val="single"/>
        </w:rPr>
        <w:t>III. NO MÉRITO</w:t>
      </w:r>
    </w:p>
    <w:p w14:paraId="2D4C4DBB" w14:textId="77777777" w:rsidR="007B689A" w:rsidRDefault="007B689A" w:rsidP="007B689A">
      <w:pPr>
        <w:spacing w:before="200" w:after="200" w:line="240" w:lineRule="auto"/>
      </w:pPr>
    </w:p>
    <w:p w14:paraId="61BF8288" w14:textId="77777777" w:rsidR="007B689A" w:rsidRDefault="007B689A" w:rsidP="007B689A">
      <w:pPr>
        <w:spacing w:before="200" w:after="200" w:line="240" w:lineRule="auto"/>
      </w:pPr>
    </w:p>
    <w:p w14:paraId="1F354A72" w14:textId="77777777" w:rsidR="007B689A" w:rsidRDefault="007B689A" w:rsidP="006A71F7">
      <w:pPr>
        <w:spacing w:before="200" w:after="200" w:line="240" w:lineRule="auto"/>
        <w:jc w:val="both"/>
      </w:pPr>
      <w:r>
        <w:t xml:space="preserve">Inicialmente, informa-se que em breve serão trazidos aos autos os documentos referentes ao empreendimento onde se localiza o imóvel objeto da presente ação. Para tanto, requer a concessão do prazo de 5 (cinco) dias, visto que estão sendo realizadas diligências junto aos setores responsáveis. </w:t>
      </w:r>
    </w:p>
    <w:p w14:paraId="710CA8C5" w14:textId="77777777" w:rsidR="007B689A" w:rsidRDefault="007B689A" w:rsidP="006A71F7">
      <w:pPr>
        <w:spacing w:before="200" w:after="200" w:line="240" w:lineRule="auto"/>
        <w:jc w:val="both"/>
      </w:pPr>
      <w:r>
        <w:t xml:space="preserve">Cumpre destacar à época da conclusão das obras, por ocasião da vistoria final, não foram verificados os problemas alegados e o empreendimento apresentava condições de habitabilidade, tendo carta de Habite-se emitida pela Prefeitura Municipal. </w:t>
      </w:r>
    </w:p>
    <w:p w14:paraId="3BFC5432" w14:textId="77777777" w:rsidR="007B689A" w:rsidRDefault="007B689A" w:rsidP="006A71F7">
      <w:pPr>
        <w:spacing w:before="200" w:after="200" w:line="240" w:lineRule="auto"/>
        <w:jc w:val="both"/>
      </w:pPr>
      <w:r>
        <w:t xml:space="preserve">Há de se levar em consideração que pedido da inicial é genérico, não apresenta laudo técnico e não traz orçamentos ou detalhamento dos danos. Trata-se de ação cujo expediente de captar clientes de forma massificada vem se repetindo por todo o país de forma indiscriminada nos empreendimentos do Programa MCMV. </w:t>
      </w:r>
    </w:p>
    <w:p w14:paraId="7D4DBAB7" w14:textId="0DB38B86" w:rsidR="007B689A" w:rsidRDefault="007B689A" w:rsidP="006A71F7">
      <w:pPr>
        <w:spacing w:before="200" w:after="200" w:line="240" w:lineRule="auto"/>
        <w:jc w:val="both"/>
        <w:rPr>
          <w:rFonts w:cs="Calibri"/>
          <w:b/>
          <w:bCs/>
          <w:u w:val="single"/>
        </w:rPr>
      </w:pPr>
      <w:r>
        <w:t>Da mesma forma, todas as reclamações são absolutamente genéricas não permitindo nem mesmo a defesa, dada a inexistência de dados específicos.</w:t>
      </w:r>
    </w:p>
    <w:p w14:paraId="3D35CBDD" w14:textId="77777777" w:rsidR="007B689A" w:rsidRDefault="007B689A" w:rsidP="006A71F7">
      <w:pPr>
        <w:spacing w:before="200" w:after="200" w:line="240" w:lineRule="auto"/>
        <w:jc w:val="both"/>
      </w:pPr>
      <w:r>
        <w:t xml:space="preserve">A Caixa Econômica Federal é ilegítima para compor a demanda, uma vez que não é responsável pela edificação ou sua fiscalização. A responsabilidade pelos vícios construtivos alegados, se eventualmente comprovados em perícia técnica, deve ser buscada diretamente perante os responsáveis pela construção, no juízo competente. </w:t>
      </w:r>
    </w:p>
    <w:p w14:paraId="5F4D5CF2" w14:textId="77777777" w:rsidR="006A71F7" w:rsidRDefault="007B689A" w:rsidP="006A71F7">
      <w:pPr>
        <w:spacing w:before="200" w:after="200" w:line="240" w:lineRule="auto"/>
        <w:jc w:val="both"/>
      </w:pPr>
      <w:r>
        <w:t xml:space="preserve">Cumpre esclarecer, ainda, que o setor de engenharia da CAIXA não realiza atividade técnica de “fiscalização de obra”. Isso porque os engenheiros da CAIXA não têm a atribuição de acompanhar diariamente a execução da obra dos empreendimentos, mas apenas visitá-la periodicamente para verificar o seu andamento. Assim, o engenheiro da CAIXA visita a obra mensalmente apenas para checar se a etapa prevista foi realmente cumprida para opinar ou não pela liberação da respectiva parcela do(s) financiamento(s) e não para orientar e checar a execução minuciosa dos serviços e/ou fiscalizar ou instruir os operários a respeito de determinada técnica construtiva. </w:t>
      </w:r>
    </w:p>
    <w:p w14:paraId="5B827C93" w14:textId="77777777" w:rsidR="006A71F7" w:rsidRDefault="007B689A" w:rsidP="006A71F7">
      <w:pPr>
        <w:spacing w:before="200" w:after="200" w:line="240" w:lineRule="auto"/>
        <w:jc w:val="both"/>
      </w:pPr>
      <w:r>
        <w:t xml:space="preserve">O financiamento é concedido para a construção de bem especifico a ser alienado como garantia, sob a responsabilidade técnica de profissional habilitado e que assina a ART - Anotação de Responsabilidade Técnica, portanto não se verifica nexo causal entre a atividade da CEF e o dano causado ao autor caracterizado por vícios construtivos. </w:t>
      </w:r>
    </w:p>
    <w:p w14:paraId="09F967B2" w14:textId="76D16AD9" w:rsidR="007B689A" w:rsidRPr="006A71F7" w:rsidRDefault="007B689A" w:rsidP="006A71F7">
      <w:pPr>
        <w:spacing w:before="200" w:after="200" w:line="240" w:lineRule="auto"/>
        <w:jc w:val="both"/>
        <w:rPr>
          <w:rFonts w:cs="Calibri"/>
          <w:b/>
          <w:bCs/>
          <w:color w:val="FF0000"/>
          <w:u w:val="single"/>
        </w:rPr>
      </w:pPr>
      <w:r>
        <w:t xml:space="preserve">Informa-se que a construtora responsável pelo empreendimento </w:t>
      </w:r>
      <w:r w:rsidR="009A636B">
        <w:t>que deverá responder por eventuais vícios na obra do imóvel.</w:t>
      </w:r>
    </w:p>
    <w:p w14:paraId="1EAB1F31" w14:textId="77777777" w:rsidR="007B689A" w:rsidRDefault="007B689A" w:rsidP="007B689A">
      <w:pPr>
        <w:spacing w:before="200" w:after="200" w:line="240" w:lineRule="auto"/>
        <w:rPr>
          <w:rFonts w:cs="Calibri"/>
          <w:b/>
          <w:bCs/>
          <w:u w:val="single"/>
        </w:rPr>
      </w:pPr>
    </w:p>
    <w:p w14:paraId="5BEFBE1A" w14:textId="77777777" w:rsidR="006A71F7" w:rsidRDefault="006A71F7" w:rsidP="007B689A">
      <w:pPr>
        <w:spacing w:before="200" w:after="200" w:line="240" w:lineRule="auto"/>
        <w:rPr>
          <w:rFonts w:cs="Calibri"/>
          <w:b/>
          <w:bCs/>
          <w:u w:val="single"/>
        </w:rPr>
      </w:pPr>
    </w:p>
    <w:p w14:paraId="301B88AA" w14:textId="24B34506" w:rsidR="006A71F7" w:rsidRPr="006A71F7" w:rsidRDefault="006A71F7" w:rsidP="006A71F7">
      <w:pPr>
        <w:spacing w:before="200" w:after="200" w:line="240" w:lineRule="auto"/>
        <w:jc w:val="center"/>
        <w:rPr>
          <w:b/>
          <w:bCs/>
          <w:u w:val="single"/>
        </w:rPr>
      </w:pPr>
      <w:r w:rsidRPr="006A71F7">
        <w:rPr>
          <w:b/>
          <w:bCs/>
          <w:u w:val="single"/>
        </w:rPr>
        <w:t>NATUREZA DO F</w:t>
      </w:r>
      <w:r w:rsidR="009A636B">
        <w:rPr>
          <w:b/>
          <w:bCs/>
          <w:u w:val="single"/>
        </w:rPr>
        <w:t>UNDO DE ARRENDAMENTO RESIDENCIAL</w:t>
      </w:r>
    </w:p>
    <w:p w14:paraId="37E39FB7" w14:textId="77777777" w:rsidR="006A71F7" w:rsidRDefault="006A71F7" w:rsidP="006A71F7">
      <w:pPr>
        <w:spacing w:before="200" w:after="200" w:line="240" w:lineRule="auto"/>
        <w:jc w:val="both"/>
      </w:pPr>
    </w:p>
    <w:p w14:paraId="7F4B2236" w14:textId="77777777" w:rsidR="006A71F7" w:rsidRDefault="006A71F7" w:rsidP="006A71F7">
      <w:pPr>
        <w:spacing w:before="200" w:after="200" w:line="240" w:lineRule="auto"/>
        <w:jc w:val="both"/>
      </w:pPr>
      <w:r>
        <w:t xml:space="preserve">O Fundo de Arrendamento Residencial – FAR foi constituído com base no Voto CAIXA 140, Ata 1.419, de 27 de maio de 1999, com fundamento na Lei nº 10.188, de 12 de fevereiro de 2001 e alterações e iniciou suas atividades em 1º de junho de 1999, com a finalidade de viabilizar o Programa de Arrendamento Residencial – PAR. </w:t>
      </w:r>
    </w:p>
    <w:p w14:paraId="5B7CB547" w14:textId="77777777" w:rsidR="006A71F7" w:rsidRDefault="006A71F7" w:rsidP="006A71F7">
      <w:pPr>
        <w:spacing w:before="200" w:after="200" w:line="240" w:lineRule="auto"/>
        <w:jc w:val="both"/>
      </w:pPr>
    </w:p>
    <w:p w14:paraId="642DA2CD" w14:textId="77777777" w:rsidR="006A71F7" w:rsidRDefault="006A71F7" w:rsidP="006A71F7">
      <w:pPr>
        <w:spacing w:before="200" w:after="200" w:line="240" w:lineRule="auto"/>
        <w:jc w:val="both"/>
      </w:pPr>
    </w:p>
    <w:p w14:paraId="295A3B7A" w14:textId="77777777" w:rsidR="006A71F7" w:rsidRDefault="006A71F7" w:rsidP="006A71F7">
      <w:pPr>
        <w:spacing w:before="200" w:after="200" w:line="240" w:lineRule="auto"/>
        <w:jc w:val="both"/>
      </w:pPr>
    </w:p>
    <w:p w14:paraId="341F318E" w14:textId="77777777" w:rsidR="006A71F7" w:rsidRDefault="006A71F7" w:rsidP="006A71F7">
      <w:pPr>
        <w:spacing w:before="200" w:after="200" w:line="240" w:lineRule="auto"/>
        <w:jc w:val="both"/>
      </w:pPr>
    </w:p>
    <w:p w14:paraId="05D22E4A" w14:textId="77777777" w:rsidR="006A71F7" w:rsidRDefault="006A71F7" w:rsidP="006A71F7">
      <w:pPr>
        <w:spacing w:before="200" w:after="200" w:line="240" w:lineRule="auto"/>
        <w:jc w:val="both"/>
      </w:pPr>
    </w:p>
    <w:p w14:paraId="5E56C430" w14:textId="2BBCD207" w:rsidR="006A71F7" w:rsidRDefault="006A71F7" w:rsidP="006A71F7">
      <w:pPr>
        <w:spacing w:before="200" w:after="200" w:line="240" w:lineRule="auto"/>
        <w:ind w:left="2268"/>
        <w:jc w:val="both"/>
        <w:rPr>
          <w:i/>
          <w:iCs/>
        </w:rPr>
      </w:pPr>
      <w:r w:rsidRPr="006A71F7">
        <w:rPr>
          <w:i/>
          <w:iCs/>
        </w:rPr>
        <w:t>Art. 2º Para a operacionalização do Programa instituído nesta Lei é a CEF autorizada a criar um fundo financeiro privado com o fim exclusivo de segregação patrimonial e contábil dos haveres financeiros e imobiliários destinados ao Programa. (Redação dada pela Lei nº 12.693, de 2012) § 1º A gestão do Programa cabe ao Ministério das Cidades e sua operacionalização à Caixa Econômica Federal - CEF. (Redação dada pela Lei nº 10.859, de 2004)</w:t>
      </w:r>
    </w:p>
    <w:p w14:paraId="001B0C05" w14:textId="77777777" w:rsidR="006A71F7" w:rsidRPr="006A71F7" w:rsidRDefault="006A71F7" w:rsidP="006A71F7">
      <w:pPr>
        <w:spacing w:before="200" w:after="200" w:line="240" w:lineRule="auto"/>
        <w:ind w:left="2268"/>
        <w:jc w:val="both"/>
        <w:rPr>
          <w:i/>
          <w:iCs/>
        </w:rPr>
      </w:pPr>
    </w:p>
    <w:p w14:paraId="6F9B1C9D" w14:textId="6526910E" w:rsidR="006A71F7" w:rsidRPr="006A71F7" w:rsidRDefault="006A71F7" w:rsidP="006A71F7">
      <w:pPr>
        <w:spacing w:before="200" w:after="200" w:line="240" w:lineRule="auto"/>
        <w:ind w:left="2268"/>
        <w:jc w:val="both"/>
        <w:rPr>
          <w:rFonts w:cs="Calibri"/>
          <w:b/>
          <w:bCs/>
          <w:i/>
          <w:iCs/>
          <w:u w:val="single"/>
        </w:rPr>
      </w:pPr>
      <w:r w:rsidRPr="006A71F7">
        <w:rPr>
          <w:i/>
          <w:iCs/>
        </w:rPr>
        <w:t>§ 8º Cabe à CEF a gestão do fundo a que se refere o caput e a proposição de seu regulamento para a aprovação da assembleia de cotistas. (Redação dada pela Lei nº 12.693, de 2012)</w:t>
      </w:r>
    </w:p>
    <w:p w14:paraId="7B05747F" w14:textId="77777777" w:rsidR="007B689A" w:rsidRDefault="007B689A" w:rsidP="007B689A">
      <w:pPr>
        <w:spacing w:before="200" w:after="200" w:line="240" w:lineRule="auto"/>
        <w:rPr>
          <w:rFonts w:cs="Calibri"/>
          <w:b/>
          <w:bCs/>
          <w:u w:val="single"/>
        </w:rPr>
      </w:pPr>
    </w:p>
    <w:p w14:paraId="3DBEC67C" w14:textId="77777777" w:rsidR="006A71F7" w:rsidRDefault="006A71F7" w:rsidP="007B689A">
      <w:pPr>
        <w:spacing w:before="200" w:after="200" w:line="240" w:lineRule="auto"/>
      </w:pPr>
      <w:r>
        <w:t xml:space="preserve">O Art. 4º da Lei 10.188/2001 define as competências do Fundo em questão e possui a seguinte redação: </w:t>
      </w:r>
    </w:p>
    <w:p w14:paraId="2E71F04B" w14:textId="77777777" w:rsidR="006A71F7" w:rsidRDefault="006A71F7" w:rsidP="007B689A">
      <w:pPr>
        <w:spacing w:before="200" w:after="200" w:line="240" w:lineRule="auto"/>
      </w:pPr>
    </w:p>
    <w:p w14:paraId="09565458" w14:textId="5AD1673A" w:rsidR="006A71F7" w:rsidRPr="006A71F7" w:rsidRDefault="006A71F7" w:rsidP="006A71F7">
      <w:pPr>
        <w:spacing w:before="200" w:after="200" w:line="240" w:lineRule="auto"/>
        <w:ind w:left="2268"/>
        <w:jc w:val="both"/>
        <w:rPr>
          <w:rFonts w:cs="Calibri"/>
          <w:b/>
          <w:bCs/>
          <w:i/>
          <w:iCs/>
          <w:u w:val="single"/>
        </w:rPr>
      </w:pPr>
      <w:r w:rsidRPr="006A71F7">
        <w:rPr>
          <w:i/>
          <w:iCs/>
        </w:rPr>
        <w:t>Art. 4º Compete à CEF: III - expedir os atos necessários à operacionalização do Programa; IV - definir os critérios técnicos a serem observados na aquisição, alienação e no arrendamento com opção de compra dos imóveis destinados ao Programa; (Redação dada pela Lei nº 11.474, de 2007) Parágrafo único. As operações de aquisição, construção, recuperação, arrendamento e venda de imóveis obedecerão aos critérios estabelecidos pela CEF, respeitados os princípios da legalidade, finalidade, razoabilidade, moralidade administrativa, interesse público e eficiência, ficando dispensada da observância das disposições específicas da lei geral de licitação.</w:t>
      </w:r>
    </w:p>
    <w:p w14:paraId="0A67968B" w14:textId="77777777" w:rsidR="006A71F7" w:rsidRDefault="006A71F7" w:rsidP="007B689A">
      <w:pPr>
        <w:spacing w:before="200" w:after="200" w:line="240" w:lineRule="auto"/>
        <w:rPr>
          <w:rFonts w:cs="Calibri"/>
          <w:b/>
          <w:bCs/>
          <w:u w:val="single"/>
        </w:rPr>
      </w:pPr>
    </w:p>
    <w:p w14:paraId="27AA3E2D" w14:textId="77777777" w:rsidR="006A71F7" w:rsidRDefault="006A71F7" w:rsidP="006A71F7">
      <w:pPr>
        <w:spacing w:before="200" w:after="200" w:line="240" w:lineRule="auto"/>
        <w:jc w:val="both"/>
      </w:pPr>
      <w:r>
        <w:t xml:space="preserve">A Lei nº 11.977, de 07 de julho de 2009, alterada pela Lei 12.424, de 16 de junho de 2011 em seu Art. 2º, inciso II inclui a participação do FAR no Programa Minha Casa Minha Vida - PMCMV: </w:t>
      </w:r>
    </w:p>
    <w:p w14:paraId="6C58F577" w14:textId="77777777" w:rsidR="006A71F7" w:rsidRDefault="006A71F7" w:rsidP="006A71F7">
      <w:pPr>
        <w:spacing w:before="200" w:after="200" w:line="240" w:lineRule="auto"/>
        <w:ind w:left="2268"/>
        <w:jc w:val="both"/>
      </w:pPr>
    </w:p>
    <w:p w14:paraId="76F39D4B" w14:textId="4920047C" w:rsidR="006A71F7" w:rsidRDefault="006A71F7" w:rsidP="006A71F7">
      <w:pPr>
        <w:spacing w:before="200" w:after="200" w:line="240" w:lineRule="auto"/>
        <w:ind w:left="2268"/>
        <w:jc w:val="both"/>
        <w:rPr>
          <w:rFonts w:cs="Calibri"/>
          <w:b/>
          <w:bCs/>
          <w:u w:val="single"/>
        </w:rPr>
      </w:pPr>
      <w:r>
        <w:t>Art. 2º Para a implementação do PMCMV, a União, observada a disponibilidade orçamentária e financeira: (Redação dada pela Lei nº 12.424, de 2011) II – participará do Fundo de Arrendamento Residencial (FAR), mediante integralização de cotas e transferirá recursos ao Fundo de Desenvolvimento Social (FDS) de que tratam, respectivamente, a Lei no 10.188, de 12 de fevereiro de 2001, e a Lei no 8.677, de 13 de julho de 1993; (Redação dada pela Lei nº 12.693, de 2012) Art. 6º-A. As operações realizadas com recursos advindos da integralização de cotas no FAR e recursos transferidos ao FDS, conforme previsto no inciso II do caput do art. 2º, são limitadas a famílias com renda mensal de até R$ 1.395,00 (mil trezentos e noventa e cinco reais), e condicionadas a: (Redação dada pela Lei nº 12.693, de 2012) III - cobertura de danos físicos ao imóvel, sem cobrança de contribuição do beneficiário. (Incluído pela Lei nº 12.424, de 2011</w:t>
      </w:r>
    </w:p>
    <w:p w14:paraId="6D3831F8" w14:textId="77777777" w:rsidR="006A71F7" w:rsidRDefault="006A71F7" w:rsidP="007B689A">
      <w:pPr>
        <w:spacing w:before="200" w:after="200" w:line="240" w:lineRule="auto"/>
        <w:rPr>
          <w:rFonts w:cs="Calibri"/>
          <w:b/>
          <w:bCs/>
          <w:u w:val="single"/>
        </w:rPr>
      </w:pPr>
    </w:p>
    <w:p w14:paraId="35DF027B" w14:textId="77777777" w:rsidR="006A71F7" w:rsidRDefault="006A71F7" w:rsidP="007B689A">
      <w:pPr>
        <w:spacing w:before="200" w:after="200" w:line="240" w:lineRule="auto"/>
        <w:rPr>
          <w:rFonts w:cs="Calibri"/>
          <w:b/>
          <w:bCs/>
          <w:u w:val="single"/>
        </w:rPr>
      </w:pPr>
    </w:p>
    <w:p w14:paraId="06597C08" w14:textId="77777777" w:rsidR="006A71F7" w:rsidRDefault="006A71F7" w:rsidP="007B689A">
      <w:pPr>
        <w:spacing w:before="200" w:after="200" w:line="240" w:lineRule="auto"/>
        <w:rPr>
          <w:rFonts w:cs="Calibri"/>
          <w:b/>
          <w:bCs/>
          <w:u w:val="single"/>
        </w:rPr>
      </w:pPr>
    </w:p>
    <w:p w14:paraId="0FF7ECD4" w14:textId="77777777" w:rsidR="006A71F7" w:rsidRDefault="006A71F7" w:rsidP="007B689A">
      <w:pPr>
        <w:spacing w:before="200" w:after="200" w:line="240" w:lineRule="auto"/>
        <w:rPr>
          <w:rFonts w:cs="Calibri"/>
          <w:b/>
          <w:bCs/>
          <w:u w:val="single"/>
        </w:rPr>
      </w:pPr>
    </w:p>
    <w:p w14:paraId="3C93C515" w14:textId="77777777" w:rsidR="006A71F7" w:rsidRDefault="006A71F7" w:rsidP="007B689A">
      <w:pPr>
        <w:spacing w:before="200" w:after="200" w:line="240" w:lineRule="auto"/>
        <w:rPr>
          <w:rFonts w:cs="Calibri"/>
          <w:b/>
          <w:bCs/>
          <w:u w:val="single"/>
        </w:rPr>
      </w:pPr>
    </w:p>
    <w:p w14:paraId="71B82EDA" w14:textId="77777777" w:rsidR="006A71F7" w:rsidRDefault="006A71F7" w:rsidP="006A71F7">
      <w:pPr>
        <w:spacing w:before="200" w:after="200" w:line="240" w:lineRule="auto"/>
        <w:jc w:val="both"/>
        <w:rPr>
          <w:rFonts w:cs="Calibri"/>
          <w:b/>
          <w:bCs/>
          <w:u w:val="single"/>
        </w:rPr>
      </w:pPr>
    </w:p>
    <w:p w14:paraId="55573271" w14:textId="11CB884C" w:rsidR="006A71F7" w:rsidRDefault="006A71F7" w:rsidP="006A71F7">
      <w:pPr>
        <w:spacing w:before="200" w:after="200" w:line="240" w:lineRule="auto"/>
        <w:jc w:val="both"/>
        <w:rPr>
          <w:rFonts w:cs="Calibri"/>
          <w:b/>
          <w:bCs/>
          <w:u w:val="single"/>
        </w:rPr>
      </w:pPr>
      <w:r>
        <w:t>O FAR tem por objetivo prover recursos ao Programa de Arrendamento Residencial - PAR e ao Programa Minha Casa Minha Vida - PMCMV, para realização de investimentos no desenvolvimento de empreendimentos imobiliários (unidades habitacionais), mediante constituição de carteira diversificada de ativos imobiliários, financeiros e/ou modalidades operacionais disponíveis no âmbito do mercado financeiro.</w:t>
      </w:r>
    </w:p>
    <w:p w14:paraId="11C8B2B7" w14:textId="77777777" w:rsidR="006A71F7" w:rsidRDefault="006A71F7" w:rsidP="006A71F7">
      <w:pPr>
        <w:spacing w:before="200" w:after="200" w:line="240" w:lineRule="auto"/>
        <w:jc w:val="both"/>
        <w:rPr>
          <w:rFonts w:cs="Calibri"/>
          <w:b/>
          <w:bCs/>
          <w:u w:val="single"/>
        </w:rPr>
      </w:pPr>
    </w:p>
    <w:p w14:paraId="2D6D7C8E" w14:textId="77777777" w:rsidR="006A71F7" w:rsidRDefault="006A71F7" w:rsidP="006A71F7">
      <w:pPr>
        <w:spacing w:before="200" w:after="200" w:line="240" w:lineRule="auto"/>
        <w:jc w:val="both"/>
      </w:pPr>
      <w:r>
        <w:t xml:space="preserve">O Programa Minha Casa Minha Vida – PMCMV Faixa I destina-se à aquisição e construção ou requalificação de empreendimentos, com a participação de construtora, cujas unidades habitacionais são destinadas à alienação para famílias com renda bruta mensal de até R$ 1.600,00, indicadas pelo Município ou Governo do Estado/Distrito Federal. Seu objetivo é tornar acessível a moradia para famílias de baixa renda, por intermédio da produção, aquisição e requalificação de imóveis urbanos, concessão de parcelamento aos beneficiários, bem como prestar garantia de DFI - Danos Físicos no Imóvel e de MIP – Morte e Invalidez Permanente, atendendo aos padrões mínimos de sustentabilidade, segurança e habitabilidade, com subvenções econômicas concedidas nas prestações do financiamento. </w:t>
      </w:r>
    </w:p>
    <w:p w14:paraId="0ADA4C8D" w14:textId="77777777" w:rsidR="006A71F7" w:rsidRDefault="006A71F7" w:rsidP="006A71F7">
      <w:pPr>
        <w:spacing w:before="200" w:after="200" w:line="240" w:lineRule="auto"/>
        <w:jc w:val="both"/>
      </w:pPr>
    </w:p>
    <w:p w14:paraId="608A0913" w14:textId="5C502CFA" w:rsidR="006A71F7" w:rsidRDefault="006A71F7" w:rsidP="006A71F7">
      <w:pPr>
        <w:spacing w:before="200" w:after="200" w:line="240" w:lineRule="auto"/>
        <w:jc w:val="both"/>
        <w:rPr>
          <w:rFonts w:cs="Calibri"/>
          <w:b/>
          <w:bCs/>
          <w:u w:val="single"/>
        </w:rPr>
      </w:pPr>
      <w:r>
        <w:t>A Lei nº 11.977/2009, instituidora do Programa Minha Casa Minha Vida – PMCMV, traz em seu artigo 79, a redação abaixo transcrita</w:t>
      </w:r>
    </w:p>
    <w:p w14:paraId="26D1A31C" w14:textId="77777777" w:rsidR="006A71F7" w:rsidRDefault="006A71F7" w:rsidP="007B689A">
      <w:pPr>
        <w:spacing w:before="200" w:after="200" w:line="240" w:lineRule="auto"/>
        <w:rPr>
          <w:rFonts w:cs="Calibri"/>
          <w:b/>
          <w:bCs/>
          <w:u w:val="single"/>
        </w:rPr>
      </w:pPr>
    </w:p>
    <w:p w14:paraId="5F7F73CB" w14:textId="7CE6C23E" w:rsidR="006A71F7" w:rsidRDefault="006A71F7" w:rsidP="006A71F7">
      <w:pPr>
        <w:spacing w:before="200" w:after="200" w:line="240" w:lineRule="auto"/>
        <w:ind w:left="2268"/>
        <w:jc w:val="both"/>
        <w:rPr>
          <w:rFonts w:cs="Calibri"/>
          <w:b/>
          <w:bCs/>
          <w:u w:val="single"/>
        </w:rPr>
      </w:pPr>
      <w:r>
        <w:t>Art. 79. Os agentes financeiros do SFH somente poderão conceder financiamentos habitacionais com cobertura securitária que preveja, no mínimo, cobertura aos riscos de morte e invalidez permanente do mutuário e de danos físicos ao imóvel. (Redação dada pela Lei nº 12.424, de 2011) (...) § 3º Nas operações em que sejam utilizados recursos advindos do Fundo de Arrendamento Residencial - FAR e do Fundo de Desenvolvimento Social - FDS, os agentes financeiros poderão dispensar a contratação de seguro de que trata o caput, nas hipóteses em que os riscos de morte e invalidez permanente do mutuário e de danos físicos ao imóvel estejam garantidos pelos respectivos fundos. (Incluído pela Lei nº 12.424, de 2011)</w:t>
      </w:r>
    </w:p>
    <w:p w14:paraId="564AE77E" w14:textId="77777777" w:rsidR="006A71F7" w:rsidRDefault="006A71F7" w:rsidP="006A71F7">
      <w:pPr>
        <w:spacing w:before="200" w:after="200" w:line="240" w:lineRule="auto"/>
        <w:jc w:val="both"/>
        <w:rPr>
          <w:rFonts w:cs="Calibri"/>
          <w:b/>
          <w:bCs/>
          <w:u w:val="single"/>
        </w:rPr>
      </w:pPr>
    </w:p>
    <w:p w14:paraId="5E332AC3" w14:textId="77777777" w:rsidR="006A71F7" w:rsidRDefault="006A71F7" w:rsidP="006A71F7">
      <w:pPr>
        <w:spacing w:before="200" w:after="200" w:line="240" w:lineRule="auto"/>
        <w:jc w:val="both"/>
      </w:pPr>
      <w:r>
        <w:t xml:space="preserve">Assim, por força de Lei, os contratos de financiamentos habitacionais celebrados no âmbito do SFH somente podem ser concedidos se contemplarem cobertura securitária de MIP e DFI. Porém, para os contratos celebrados no âmbito do PMCMV Faixa I (recursos FAR), é dispensada a contração de seguro com seguradora, uma vez que as garantias são prestadas pelo próprio Fundo de Arrendamento Residencial – FAR, sem cobrança de contribuição do beneficiário, conforme disposto no Art. 6º-A da Lei 11.977/2009 e alterações posteriores. </w:t>
      </w:r>
    </w:p>
    <w:p w14:paraId="4A8E65C7" w14:textId="77777777" w:rsidR="006A71F7" w:rsidRDefault="006A71F7" w:rsidP="006A71F7">
      <w:pPr>
        <w:spacing w:before="200" w:after="200" w:line="240" w:lineRule="auto"/>
        <w:jc w:val="both"/>
      </w:pPr>
    </w:p>
    <w:p w14:paraId="11128EDC" w14:textId="79DE5FAE" w:rsidR="006A71F7" w:rsidRDefault="006A71F7" w:rsidP="006A71F7">
      <w:pPr>
        <w:spacing w:before="200" w:after="200" w:line="240" w:lineRule="auto"/>
        <w:jc w:val="both"/>
      </w:pPr>
      <w:r>
        <w:t>É importante salientar que, aos contratos do PMCMV Faixa I (Recursos FAR), além de não haver cobrança de contribuição do beneficiário, as coberturas são previstas em contrato, inexistindo qualquer apólice vinculada que se possa exibir ou exigir; portanto, considerando não se tratar de “seguro”, o Fundo não está sujeito às normas e fiscalização da Superintendência de Seguros Privados – SUSEP.</w:t>
      </w:r>
    </w:p>
    <w:p w14:paraId="5ACC7813" w14:textId="77777777" w:rsidR="006A71F7" w:rsidRDefault="006A71F7" w:rsidP="006A71F7">
      <w:pPr>
        <w:spacing w:before="200" w:after="200" w:line="240" w:lineRule="auto"/>
        <w:jc w:val="both"/>
      </w:pPr>
    </w:p>
    <w:p w14:paraId="35FC63F9" w14:textId="732E85B5" w:rsidR="006A71F7" w:rsidRDefault="006A71F7" w:rsidP="006A71F7">
      <w:pPr>
        <w:spacing w:before="200" w:after="200" w:line="240" w:lineRule="auto"/>
        <w:jc w:val="both"/>
        <w:rPr>
          <w:rFonts w:cs="Calibri"/>
          <w:b/>
          <w:bCs/>
          <w:u w:val="single"/>
        </w:rPr>
      </w:pPr>
      <w:r>
        <w:t>A CAIXA, na qualidade de Gestor Operacional do PMCMV – Faixa I (recursos do FAR), expediu atos normativos necessários à operacionalização do Programa no que se refere ao acionamento de garantia por evento de Danos Físicos no Imóvel – DFI conforme abaixo:</w:t>
      </w:r>
    </w:p>
    <w:p w14:paraId="4D1567E4" w14:textId="0BB02998" w:rsidR="006A71F7" w:rsidRDefault="006A71F7" w:rsidP="007B689A">
      <w:pPr>
        <w:spacing w:before="200" w:after="200" w:line="240" w:lineRule="auto"/>
        <w:rPr>
          <w:rFonts w:cs="Calibri"/>
          <w:b/>
          <w:bCs/>
          <w:u w:val="single"/>
        </w:rPr>
      </w:pPr>
    </w:p>
    <w:p w14:paraId="101D65EC" w14:textId="77777777" w:rsidR="006A71F7" w:rsidRDefault="006A71F7" w:rsidP="007B689A">
      <w:pPr>
        <w:spacing w:before="200" w:after="200" w:line="240" w:lineRule="auto"/>
        <w:rPr>
          <w:rFonts w:cs="Calibri"/>
          <w:b/>
          <w:bCs/>
          <w:u w:val="single"/>
        </w:rPr>
      </w:pPr>
    </w:p>
    <w:p w14:paraId="1FE26DA2" w14:textId="77777777" w:rsidR="006A71F7" w:rsidRDefault="006A71F7" w:rsidP="007B689A">
      <w:pPr>
        <w:spacing w:before="200" w:after="200" w:line="240" w:lineRule="auto"/>
        <w:rPr>
          <w:rFonts w:cs="Calibri"/>
          <w:b/>
          <w:bCs/>
          <w:u w:val="single"/>
        </w:rPr>
      </w:pPr>
    </w:p>
    <w:p w14:paraId="7ED8A1A9" w14:textId="77777777" w:rsidR="006A71F7" w:rsidRDefault="006A71F7" w:rsidP="007B689A">
      <w:pPr>
        <w:spacing w:before="200" w:after="200" w:line="240" w:lineRule="auto"/>
        <w:rPr>
          <w:rFonts w:cs="Calibri"/>
          <w:b/>
          <w:bCs/>
          <w:u w:val="single"/>
        </w:rPr>
      </w:pPr>
    </w:p>
    <w:p w14:paraId="31306E54" w14:textId="77777777" w:rsidR="006A71F7" w:rsidRDefault="006A71F7" w:rsidP="006A71F7">
      <w:pPr>
        <w:spacing w:before="200" w:after="200" w:line="240" w:lineRule="auto"/>
        <w:ind w:left="2268"/>
        <w:jc w:val="both"/>
      </w:pPr>
      <w:r>
        <w:t xml:space="preserve">MNPO - FAR - PMCMV MANUAL DE NORMAS E PROCEDIMENTOS OPERACIONAIS 3.22 COBERTURA DE SINISTROS 3.22.1 DFI – DANOS FÍSICOS DO IMÓVEL 3.22.1.1 São assumidas pelo FAR as despesas com reparação de DFI decorrentes de: a) incêndio; b) explosão; c) raio; d) vendaval; e) destelhamento ou danos comprovados em edificação componente da unidade habitacional causados por vento forte, granizo ou raio, excluído destelhamento ou danos ocorridos em cobertura de edifício em condomínio; f) inundação ou alagamento causada pelo transbordamento de rios ou canais, alimentados pelos mesmos e ainda que decorrente de chuva; g) desmoronamento total; h) desmoronamento parcial, assim entendido a destruição ou desabamento de paredes, vigas ou outro elemento estrutural; i) ameaça de desmoronamento, devidamente comprovada. </w:t>
      </w:r>
    </w:p>
    <w:p w14:paraId="2A40703D" w14:textId="77777777" w:rsidR="006A71F7" w:rsidRDefault="006A71F7" w:rsidP="006A71F7">
      <w:pPr>
        <w:spacing w:before="200" w:after="200" w:line="240" w:lineRule="auto"/>
        <w:ind w:left="2268"/>
        <w:jc w:val="both"/>
      </w:pPr>
      <w:r>
        <w:t xml:space="preserve">3.22.1.2 Com exceção dos riscos de incêndio e explosão, todos os demais citados no item acima são decorrentes de eventos de causa externa, assim entendidos os causados por forças que, atuando de fora para dentro, sobre o prédio, ou sobre o solo ou subsolo em que o mesmo se acha edificado, lhe causem danos, excluindo-se, por conseguinte, todo e qualquer dano sofrido pelo prédio ou benfeitorias que seja causado por seus próprios componentes, sem que sobre eles atue qualquer força anormal. </w:t>
      </w:r>
    </w:p>
    <w:p w14:paraId="01D2CC89" w14:textId="77777777" w:rsidR="006A71F7" w:rsidRDefault="006A71F7" w:rsidP="006A71F7">
      <w:pPr>
        <w:spacing w:before="200" w:after="200" w:line="240" w:lineRule="auto"/>
        <w:ind w:left="2268"/>
        <w:jc w:val="both"/>
      </w:pPr>
      <w:r>
        <w:t xml:space="preserve">3.22.1.3 Os prejuízos causados aos itens estruturais ou área comum tem cobertura do FAR quando sofrem danos provocados por propagação de sinistro incidente nas partes privativas do imóvel. </w:t>
      </w:r>
    </w:p>
    <w:p w14:paraId="2042D378" w14:textId="77777777" w:rsidR="006A71F7" w:rsidRDefault="006A71F7" w:rsidP="006A71F7">
      <w:pPr>
        <w:spacing w:before="200" w:after="200" w:line="240" w:lineRule="auto"/>
        <w:ind w:left="2268"/>
        <w:jc w:val="both"/>
      </w:pPr>
      <w:r>
        <w:t xml:space="preserve">3.22.1.4 O FAR não responderá pelos riscos, prejuízos ou gastos que se verificarem direta ou indiretamente em decorrência de: a) encargos mensais, devidos pelo mutuário ao AF quando, em caso de ocorrência de DFI, for constatada a necessidade de sua desocupação, exceto os danos que decorrerem da execução de obras públicas; b) perda de conteúdo; c) despesas decorrentes de danos físicos nas partes comuns (tais como, por exemplo, áreas de lazer, guarita, salão de festas) e nas instalações / coberturas / telhados de edifícios em condomínio, que são de competência de atuação do síndico, pelas disposições legais de proceder seguro em nome do condomínio; d) prejuízos provenientes de dolo ou culpa, do beneficiário, seu cônjuge, filhos, empregados, representantes, inclusive danos decorrentes de atos por eles praticados em estado de insanidade mental, incapacidade, alcoolismo, efeito de substâncias tóxicas ou medicamentos com ou sem prescrição médica; e) fatores externos que provoquem a repetição de ocorrências anteriormente indenizadas sem que tenham sido tomadas, por quem de direito, as providências indicadas pelo AF; f) danos causados por, ou a qualquer espécie de veículo terrestre, aéreo ou aquático, incluindo seus instrumentos, acessórios e pertences; g) prejuízos advindos da sobrecarga ou da oscilação na rede elétrica, inclusive em consequência de queda de raio fora do terreno do imóvel segurado, que cause danos a fios, lâmpadas, chaves, fusíveis e, quaisquer aparelhos e/ou componentes elétricos ou eletrônicos; h) danos causados por água, incluindo os provenientes de rompimento de canos, mangueiras, adutoras, tubulações internas e externas e vazamento de caixa d’água, transbordamento de água proveniente de equipamentos, aparelhos, torneiras e registros, ainda que deixados abertos inadvertidamente; i) prejuízos resultantes de infiltrações de quaisquer espécies, incluindo as de entupimento de calhas, má conservação das instalações de água e esgoto do imóvel segurado ou de outros imóveis, rompimento de tubulações e/ou equipamentos, inclusive por congelamento de fluido contido nos mesmos, quebra ou estouro de válvulas de alívio de pressão; umidade, ferragem, ferrugem, corrosão, chuva, areia, terra no interior ou na área do imóvel segurado, proveniente de janelas, portas ou, quaisquer outras aberturas existentes no imóvel; j) atos de autoridades públicas, salvo para evitar propagação de danos cobertos pelo FAR; k) atos de inimigos estrangeiros, operações de guerra anteriores ou posteriores à sua declaração, guerra civil, revolução, rebelião, motim, greve, ato emanado de administração de qualquer área sob lei marcial ou estado de sítio; l) depredação, furto, roubo, invasão, vandalismo, ainda que tenham ocorrido </w:t>
      </w:r>
      <w:r>
        <w:lastRenderedPageBreak/>
        <w:t xml:space="preserve">durante qualquer dos eventos citados no item 3.22.1.1; m) qualquer perda ou destruição ou dano de quaisquer bens materiais, bem como qualquer prejuízo, despesa ou dano emergente, e ainda responsabilidade legal de qualquer natureza, direta ou indiretamente causados por resultantes de, ou para os quais tenham contribuído radiações ionizantes ou de contaminações pela radioatividade de qualquer combustível nuclear ou de qualquer resíduo nuclear, resultante de combustão de material nuclear, inclusive por armas nucleares; n) recuperação de imóveis por danos decorrentes de uso e desgaste, relativos a revestimentos, instalações elétricas, instalações hidráulicas, pintura, esquadrias, vidros, ferragens e pisos; o) pagamento de aluguel/auxílio moradia em decorrência da desocupação do imóvel na eventualidade da ocorrência de reparos construtivos. </w:t>
      </w:r>
    </w:p>
    <w:p w14:paraId="4F5803B0" w14:textId="1B68D868" w:rsidR="006A71F7" w:rsidRDefault="006A71F7" w:rsidP="006A71F7">
      <w:pPr>
        <w:spacing w:before="200" w:after="200" w:line="240" w:lineRule="auto"/>
        <w:ind w:left="2268"/>
        <w:jc w:val="both"/>
        <w:rPr>
          <w:b/>
          <w:bCs/>
          <w:u w:val="single"/>
        </w:rPr>
      </w:pPr>
      <w:r w:rsidRPr="006A71F7">
        <w:rPr>
          <w:b/>
          <w:bCs/>
          <w:u w:val="single"/>
        </w:rPr>
        <w:t>3.24 VÍCIO CONSTRUTIVO 3.24.1 As construtoras são responsáveis pela recuperação de DFI caracterizados como vício de construção ou falha na elaboração/execução do projeto, observados os prazos previstos em lei, devendo o AF notificar imediatamente a construtora para proceder à recuperação do dano.</w:t>
      </w:r>
    </w:p>
    <w:p w14:paraId="1A008721" w14:textId="77777777" w:rsidR="006A71F7" w:rsidRDefault="006A71F7" w:rsidP="006A71F7">
      <w:pPr>
        <w:spacing w:before="200" w:after="200" w:line="240" w:lineRule="auto"/>
        <w:ind w:left="2268"/>
        <w:jc w:val="both"/>
        <w:rPr>
          <w:b/>
          <w:bCs/>
          <w:u w:val="single"/>
        </w:rPr>
      </w:pPr>
    </w:p>
    <w:p w14:paraId="21C0323E" w14:textId="77777777" w:rsidR="006A71F7" w:rsidRDefault="006A71F7" w:rsidP="006A71F7">
      <w:pPr>
        <w:spacing w:before="200" w:after="200" w:line="240" w:lineRule="auto"/>
        <w:ind w:left="2268"/>
        <w:jc w:val="both"/>
      </w:pPr>
      <w:r>
        <w:t xml:space="preserve">3.24.2 No caso da construtora não promover a recuperação do dano, no prazo estabelecido pelo AF e sempre que o dano possa causar risco à vida ou à integridade do patrimônio, o FAR poderá assumir as despesas de recuperação. </w:t>
      </w:r>
    </w:p>
    <w:p w14:paraId="6A2A672D" w14:textId="77777777" w:rsidR="006A71F7" w:rsidRDefault="006A71F7" w:rsidP="006A71F7">
      <w:pPr>
        <w:spacing w:before="200" w:after="200" w:line="240" w:lineRule="auto"/>
        <w:ind w:left="2268"/>
        <w:jc w:val="both"/>
      </w:pPr>
    </w:p>
    <w:p w14:paraId="16821240" w14:textId="655432B6" w:rsidR="006A71F7" w:rsidRPr="006A71F7" w:rsidRDefault="006A71F7" w:rsidP="006A71F7">
      <w:pPr>
        <w:spacing w:before="200" w:after="200" w:line="240" w:lineRule="auto"/>
        <w:ind w:left="2268"/>
        <w:jc w:val="both"/>
        <w:rPr>
          <w:rFonts w:cs="Calibri"/>
          <w:b/>
          <w:bCs/>
          <w:u w:val="single"/>
        </w:rPr>
      </w:pPr>
      <w:r>
        <w:t>3.24.3 Previamente à contratação dos serviços de recuperação dos imóveis, o AF deverá: a) diligenciar produção de prova técnica que fundamente o ajuizamento de ação para ressarcimento das despesas a serem incorridas pelo FAR; b) enviar documentação à área jurídica com vistas ao ajuizamento de ação contra a empresa, sócios, controladores, dirigentes e responsáveis técnicos e que o prazo de envio da documentação à unidade jurídica não ultrapasse 90 dias contados da constatação dos vícios construtivos.</w:t>
      </w:r>
    </w:p>
    <w:p w14:paraId="511472BA" w14:textId="77777777" w:rsidR="006A71F7" w:rsidRDefault="006A71F7" w:rsidP="007B689A">
      <w:pPr>
        <w:spacing w:before="200" w:after="200" w:line="240" w:lineRule="auto"/>
        <w:rPr>
          <w:rFonts w:cs="Calibri"/>
          <w:b/>
          <w:bCs/>
          <w:u w:val="single"/>
        </w:rPr>
      </w:pPr>
    </w:p>
    <w:p w14:paraId="55C8AB78" w14:textId="77777777" w:rsidR="006A71F7" w:rsidRDefault="006A71F7" w:rsidP="007B689A">
      <w:pPr>
        <w:spacing w:before="200" w:after="200" w:line="240" w:lineRule="auto"/>
        <w:rPr>
          <w:rFonts w:cs="Calibri"/>
          <w:b/>
          <w:bCs/>
          <w:u w:val="single"/>
        </w:rPr>
      </w:pPr>
    </w:p>
    <w:p w14:paraId="02A90DB7" w14:textId="77777777" w:rsidR="006A71F7" w:rsidRDefault="006A71F7" w:rsidP="006A71F7">
      <w:pPr>
        <w:spacing w:before="200" w:after="200" w:line="240" w:lineRule="auto"/>
        <w:jc w:val="both"/>
      </w:pPr>
      <w:r>
        <w:t xml:space="preserve">As reclamações referentes a danos físicos em imóveis do PMCMV Faixa I – Recursos FAR direcionadas à CAIXA, independentemente do canal, devem ser encaminhadas para tratamento pela GIHAB de vinculação do contrato, uma vez que, a partir de 10/05/2013, a análise de concessão das garantias de DFI passou a ser de responsabilidade exclusiva do Agente Executor do programa. </w:t>
      </w:r>
    </w:p>
    <w:p w14:paraId="080605E9" w14:textId="77777777" w:rsidR="006A71F7" w:rsidRDefault="006A71F7" w:rsidP="006A71F7">
      <w:pPr>
        <w:spacing w:before="200" w:after="200" w:line="240" w:lineRule="auto"/>
        <w:jc w:val="both"/>
      </w:pPr>
      <w:r>
        <w:t xml:space="preserve">Importa esclarecer que não é de responsabilidade do FAR assumir despesas por danos físicos oriundos de vício construtivo ou falha na elaboração/execução do projeto. A ocorrência em comento é de responsabilidade das construtoras e compete ao agente financeiro notificá-las imediatamente para proceder à recuperação do dano, observados os prazos previstos em lei. </w:t>
      </w:r>
    </w:p>
    <w:p w14:paraId="084232A9" w14:textId="77777777" w:rsidR="006A71F7" w:rsidRDefault="006A71F7" w:rsidP="006A71F7">
      <w:pPr>
        <w:spacing w:before="200" w:after="200" w:line="240" w:lineRule="auto"/>
        <w:jc w:val="both"/>
      </w:pPr>
      <w:r>
        <w:t xml:space="preserve">O FAR é um Fundo e não um “seguro” em sentido estrito, como sua descrição assim o define: Fundo de Arrendamento Residencial, o qual objetiva tornar acessível as aquisições de moradia própria no âmbito do PMCMV Faixa I, bem como prestar garantias de DFI – Danos Físicos no Imóvel e de MIP – Morte e Invalidez Permanente para as operações contratadas no programa em questão. </w:t>
      </w:r>
    </w:p>
    <w:p w14:paraId="712A721B" w14:textId="77777777" w:rsidR="006A71F7" w:rsidRDefault="006A71F7" w:rsidP="006A71F7">
      <w:pPr>
        <w:spacing w:before="200" w:after="200" w:line="240" w:lineRule="auto"/>
        <w:jc w:val="both"/>
      </w:pPr>
      <w:r>
        <w:t xml:space="preserve">As garantias prestadas pelo Fundo encontram-se dispostas no Artigo 3.22 do MNPO - Manual de Normas e Procedimentos Operacionais do FAR, bem como nas cláusulas do contrato de parcelamento celebrado com os beneficiários. </w:t>
      </w:r>
    </w:p>
    <w:p w14:paraId="3398C476" w14:textId="77777777" w:rsidR="006A71F7" w:rsidRDefault="006A71F7" w:rsidP="006A71F7">
      <w:pPr>
        <w:spacing w:before="200" w:after="200" w:line="240" w:lineRule="auto"/>
        <w:jc w:val="both"/>
      </w:pPr>
    </w:p>
    <w:p w14:paraId="208A4D7B" w14:textId="77777777" w:rsidR="006A71F7" w:rsidRDefault="006A71F7" w:rsidP="006A71F7">
      <w:pPr>
        <w:spacing w:before="200" w:after="200" w:line="240" w:lineRule="auto"/>
        <w:jc w:val="both"/>
      </w:pPr>
    </w:p>
    <w:p w14:paraId="2E95E8CD" w14:textId="77777777" w:rsidR="006A71F7" w:rsidRDefault="006A71F7" w:rsidP="006A71F7">
      <w:pPr>
        <w:spacing w:before="200" w:after="200" w:line="240" w:lineRule="auto"/>
        <w:jc w:val="both"/>
      </w:pPr>
    </w:p>
    <w:p w14:paraId="05A7D6D6" w14:textId="77777777" w:rsidR="006A71F7" w:rsidRDefault="006A71F7" w:rsidP="006A71F7">
      <w:pPr>
        <w:spacing w:before="200" w:after="200" w:line="240" w:lineRule="auto"/>
        <w:jc w:val="both"/>
      </w:pPr>
    </w:p>
    <w:p w14:paraId="54F2A36E" w14:textId="1CA0BB7F" w:rsidR="006A71F7" w:rsidRPr="006A71F7" w:rsidRDefault="006A71F7" w:rsidP="006A71F7">
      <w:pPr>
        <w:spacing w:before="200" w:after="200" w:line="240" w:lineRule="auto"/>
        <w:jc w:val="center"/>
        <w:rPr>
          <w:rFonts w:cs="Calibri"/>
          <w:b/>
          <w:bCs/>
          <w:u w:val="single"/>
        </w:rPr>
      </w:pPr>
      <w:r w:rsidRPr="006A71F7">
        <w:rPr>
          <w:b/>
          <w:bCs/>
          <w:u w:val="single"/>
        </w:rPr>
        <w:t xml:space="preserve">DA </w:t>
      </w:r>
      <w:r>
        <w:rPr>
          <w:b/>
          <w:bCs/>
          <w:u w:val="single"/>
        </w:rPr>
        <w:t>INOCORRÊNCIA</w:t>
      </w:r>
      <w:r w:rsidRPr="006A71F7">
        <w:rPr>
          <w:b/>
          <w:bCs/>
          <w:u w:val="single"/>
        </w:rPr>
        <w:t xml:space="preserve"> DE DANOS MORAIS E MATERIAIS</w:t>
      </w:r>
    </w:p>
    <w:p w14:paraId="42BD3576" w14:textId="77777777" w:rsidR="006A71F7" w:rsidRDefault="006A71F7" w:rsidP="007B689A">
      <w:pPr>
        <w:spacing w:before="200" w:after="200" w:line="240" w:lineRule="auto"/>
        <w:rPr>
          <w:rFonts w:cs="Calibri"/>
          <w:b/>
          <w:bCs/>
          <w:u w:val="single"/>
        </w:rPr>
      </w:pPr>
    </w:p>
    <w:p w14:paraId="70D20916" w14:textId="77777777" w:rsidR="006A71F7" w:rsidRDefault="006A71F7" w:rsidP="006A71F7">
      <w:pPr>
        <w:spacing w:before="200" w:after="200" w:line="240" w:lineRule="auto"/>
        <w:jc w:val="both"/>
      </w:pPr>
      <w:r>
        <w:t xml:space="preserve">No que se refere à indenização requerida pela parte autora, cabe salientar que inexiste nos autos qualquer prova acerca dos alegados danos, sejam eles de ordem moral ou material. </w:t>
      </w:r>
    </w:p>
    <w:p w14:paraId="362F6FD9" w14:textId="77777777" w:rsidR="006A71F7" w:rsidRDefault="006A71F7" w:rsidP="006A71F7">
      <w:pPr>
        <w:spacing w:before="200" w:after="200" w:line="240" w:lineRule="auto"/>
        <w:jc w:val="both"/>
      </w:pPr>
      <w:r>
        <w:t xml:space="preserve">As alegações de existência de vícios construtivos são genéricas. Frisa-se que a obra atende às especificações de projeto determinadas pelo Ministério das Cidades e não existem quaisquer problemas estruturais ou utilização de material construtivo de qualidade inferior. </w:t>
      </w:r>
    </w:p>
    <w:p w14:paraId="168213C6" w14:textId="77777777" w:rsidR="006A71F7" w:rsidRDefault="006A71F7" w:rsidP="006A71F7">
      <w:pPr>
        <w:spacing w:before="200" w:after="200" w:line="240" w:lineRule="auto"/>
        <w:jc w:val="both"/>
      </w:pPr>
      <w:r>
        <w:t xml:space="preserve">Ademais, como já salientado, é ao construtor de obra que cabe a responsabilidade pelos danos nela detectada, assim como pelas lesões consequentes, como no caso dos danos morais. </w:t>
      </w:r>
    </w:p>
    <w:p w14:paraId="257DAD0D" w14:textId="77777777" w:rsidR="006A71F7" w:rsidRDefault="006A71F7" w:rsidP="006A71F7">
      <w:pPr>
        <w:spacing w:before="200" w:after="200" w:line="240" w:lineRule="auto"/>
        <w:jc w:val="both"/>
      </w:pPr>
      <w:r>
        <w:t xml:space="preserve">De toda a sorte, para que seja verificada a ocorrência de dano moral são necessários o preenchimento de quatro requisitos fundamentais: (i) dano; (ii) ação ou omissão, (iii) culpa em sentido amplo e (iv) nexo causal. Nesta senda, não houve qualquer ação ou omissão da CAIXA na construção do empreendimento, pois seguiu todos os trâmites e dispositivos legais. </w:t>
      </w:r>
    </w:p>
    <w:p w14:paraId="677938CF" w14:textId="77777777" w:rsidR="006A71F7" w:rsidRDefault="006A71F7" w:rsidP="006A71F7">
      <w:pPr>
        <w:spacing w:before="200" w:after="200" w:line="240" w:lineRule="auto"/>
        <w:jc w:val="both"/>
      </w:pPr>
      <w:r>
        <w:t xml:space="preserve">Além disso, o elemento subjetivo apto a gerar a responsabilização da CAIXA também não é detectável pelos termos da inicial. Não há nenhum relato na exordial a apontar que esta Empresa Pública atuou culposamente de forma a lesar a parte autora. </w:t>
      </w:r>
    </w:p>
    <w:p w14:paraId="05718035" w14:textId="77777777" w:rsidR="006A71F7" w:rsidRDefault="006A71F7" w:rsidP="006A71F7">
      <w:pPr>
        <w:spacing w:before="200" w:after="200" w:line="240" w:lineRule="auto"/>
        <w:jc w:val="both"/>
      </w:pPr>
      <w:r>
        <w:t xml:space="preserve">Ademais, para que se possa falar em dano moral, é preciso que a pessoa seja atingida em sua honra, sua reputação, sua personalidade, seu sentimento de dignidade, passe por dor, humilhação, constrangimentos, tenha os seus sentimentos violados. Simples aborrecimentos e chateações do dia a dia não podem ensejar indenização por danos morais, visto que fazem parte da vida cotidiana e não trazem maiores consequências ao indivíduo. </w:t>
      </w:r>
    </w:p>
    <w:p w14:paraId="15ABF3F1" w14:textId="77777777" w:rsidR="006A71F7" w:rsidRDefault="006A71F7" w:rsidP="006A71F7">
      <w:pPr>
        <w:spacing w:before="200" w:after="200" w:line="240" w:lineRule="auto"/>
        <w:jc w:val="both"/>
      </w:pPr>
      <w:r>
        <w:t xml:space="preserve">Como se sabe, o dano que importa em matéria de responsabilidade civil é aquele que constitui requisito de obrigação de indenizar. O prejuízo deve ser certo. É regra essencial da reparação. </w:t>
      </w:r>
    </w:p>
    <w:p w14:paraId="33D8CD21" w14:textId="77777777" w:rsidR="006A71F7" w:rsidRDefault="006A71F7" w:rsidP="006A71F7">
      <w:pPr>
        <w:spacing w:before="200" w:after="200" w:line="240" w:lineRule="auto"/>
        <w:jc w:val="both"/>
      </w:pPr>
      <w:r>
        <w:t xml:space="preserve">Ainda, o dano hipotético não constitui qualquer obrigação de indenizar. Muito menos um mero aborrecimento do dia-a-dia. Se assim fosse, se a lei autorizasse que meros aborrecimentos fossem indenizáveis, acarretaria uma avalanche de ações no judiciário cujo objetivo seria tão somente o enriquecimento sem causa, alimentando ainda mais a “indústria do dano moral”. </w:t>
      </w:r>
    </w:p>
    <w:p w14:paraId="4B0CB98F" w14:textId="77777777" w:rsidR="006A71F7" w:rsidRDefault="006A71F7" w:rsidP="006A71F7">
      <w:pPr>
        <w:spacing w:before="200" w:after="200" w:line="240" w:lineRule="auto"/>
        <w:jc w:val="both"/>
      </w:pPr>
      <w:r>
        <w:t xml:space="preserve">Assim, não houve nenhum ato ilícito praticado pelo ora contestante. O ato ilícito pressupõe seja praticado em desacordo com a ordem jurídica, violando direito subjetivo individual. Tal não ocorreu. Para que se configure o ato ilícito previsto no art. 186 do Código Civil é imprescindível que haja fato lesivo voluntário, causado pelo agente, ocorrência de um dano patrimonial ou moral e nexo de causalidade entre o dano e o comportamento do agente. Portanto, em momento algum o Banco praticou qualquer ato ilícito, descabendo qualquer pedido de reparação por danos patrimoniais ou morais. </w:t>
      </w:r>
    </w:p>
    <w:p w14:paraId="67B22C6C" w14:textId="77777777" w:rsidR="006A71F7" w:rsidRDefault="006A71F7" w:rsidP="006A71F7">
      <w:pPr>
        <w:spacing w:before="200" w:after="200" w:line="240" w:lineRule="auto"/>
        <w:jc w:val="both"/>
      </w:pPr>
      <w:r>
        <w:t xml:space="preserve">O ato ilícito acarreta, na concepção de PONTES DE MIRANDA, “de si só e originariamente, o vínculo da obrigação”. Nele concorrem elementos objetivos e subjetivos. São requisitos da primeira categoria: o ato praticado de maneira ilícita, contra um direito; resultado danoso; a relação causal entre o ato e dano. São requisitos subjetivos: a imputabilidade do agente e que tenha este agido com culpa. </w:t>
      </w:r>
    </w:p>
    <w:p w14:paraId="16683099" w14:textId="3035CBAC" w:rsidR="006A71F7" w:rsidRDefault="006A71F7" w:rsidP="007B689A">
      <w:pPr>
        <w:spacing w:before="200" w:after="200" w:line="240" w:lineRule="auto"/>
        <w:rPr>
          <w:rFonts w:cs="Calibri"/>
          <w:b/>
          <w:bCs/>
          <w:u w:val="single"/>
        </w:rPr>
      </w:pPr>
      <w:r>
        <w:t>Diante disso, os pedidos de indenização por danos morais e materiais não merecem prosperar.</w:t>
      </w:r>
    </w:p>
    <w:p w14:paraId="62CF1204" w14:textId="77777777" w:rsidR="006A71F7" w:rsidRDefault="006A71F7">
      <w:pPr>
        <w:spacing w:before="200" w:after="200" w:line="240" w:lineRule="auto"/>
        <w:jc w:val="center"/>
        <w:rPr>
          <w:rFonts w:cs="Calibri"/>
          <w:b/>
          <w:bCs/>
          <w:u w:val="single"/>
        </w:rPr>
      </w:pPr>
    </w:p>
    <w:p w14:paraId="54E58A23" w14:textId="77777777" w:rsidR="006A71F7" w:rsidRDefault="006A71F7">
      <w:pPr>
        <w:spacing w:before="200" w:after="200" w:line="240" w:lineRule="auto"/>
        <w:jc w:val="center"/>
        <w:rPr>
          <w:rFonts w:cs="Calibri"/>
          <w:b/>
          <w:bCs/>
          <w:u w:val="single"/>
        </w:rPr>
      </w:pPr>
    </w:p>
    <w:p w14:paraId="3526ADD8" w14:textId="77777777" w:rsidR="006A71F7" w:rsidRDefault="006A71F7">
      <w:pPr>
        <w:spacing w:before="200" w:after="200" w:line="240" w:lineRule="auto"/>
        <w:jc w:val="center"/>
        <w:rPr>
          <w:rFonts w:cs="Calibri"/>
          <w:b/>
          <w:bCs/>
          <w:u w:val="single"/>
        </w:rPr>
      </w:pPr>
    </w:p>
    <w:p w14:paraId="0DB60C52" w14:textId="77777777" w:rsidR="006A71F7" w:rsidRDefault="006A71F7">
      <w:pPr>
        <w:spacing w:before="200" w:after="200" w:line="240" w:lineRule="auto"/>
        <w:jc w:val="center"/>
        <w:rPr>
          <w:rFonts w:cs="Calibri"/>
          <w:b/>
          <w:bCs/>
          <w:u w:val="single"/>
        </w:rPr>
      </w:pPr>
    </w:p>
    <w:p w14:paraId="4A363856" w14:textId="77777777" w:rsidR="006A71F7" w:rsidRDefault="006A71F7">
      <w:pPr>
        <w:spacing w:before="200" w:after="200" w:line="240" w:lineRule="auto"/>
        <w:jc w:val="center"/>
        <w:rPr>
          <w:rFonts w:cs="Calibri"/>
          <w:b/>
          <w:bCs/>
          <w:u w:val="single"/>
        </w:rPr>
      </w:pPr>
    </w:p>
    <w:p w14:paraId="5A924A97" w14:textId="77777777" w:rsidR="006A71F7" w:rsidRDefault="006A71F7">
      <w:pPr>
        <w:spacing w:before="200" w:after="200" w:line="240" w:lineRule="auto"/>
        <w:jc w:val="center"/>
        <w:rPr>
          <w:rFonts w:cs="Calibri"/>
          <w:b/>
          <w:bCs/>
          <w:u w:val="single"/>
        </w:rPr>
      </w:pPr>
    </w:p>
    <w:p w14:paraId="35F4E0F2" w14:textId="1D1C1D07" w:rsidR="004767F5" w:rsidRDefault="00291592">
      <w:pPr>
        <w:spacing w:before="200" w:after="200" w:line="240" w:lineRule="auto"/>
        <w:jc w:val="center"/>
        <w:rPr>
          <w:rFonts w:cs="Calibri"/>
          <w:b/>
          <w:bCs/>
          <w:u w:val="single"/>
        </w:rPr>
      </w:pPr>
      <w:r>
        <w:rPr>
          <w:rFonts w:cs="Calibri"/>
          <w:b/>
          <w:bCs/>
          <w:u w:val="single"/>
        </w:rPr>
        <w:t>CONCLUSÃO</w:t>
      </w:r>
    </w:p>
    <w:p w14:paraId="121A4282" w14:textId="77777777" w:rsidR="006A71F7" w:rsidRDefault="006A71F7">
      <w:pPr>
        <w:spacing w:before="200" w:after="200" w:line="240" w:lineRule="auto"/>
        <w:jc w:val="center"/>
        <w:rPr>
          <w:rFonts w:cs="Calibri"/>
          <w:sz w:val="20"/>
          <w:szCs w:val="20"/>
        </w:rPr>
      </w:pPr>
    </w:p>
    <w:p w14:paraId="0CAE29E4" w14:textId="77777777" w:rsidR="004767F5" w:rsidRDefault="00291592">
      <w:pPr>
        <w:spacing w:before="200" w:after="200" w:line="240" w:lineRule="auto"/>
        <w:jc w:val="both"/>
        <w:rPr>
          <w:rFonts w:cs="Calibri"/>
          <w:sz w:val="20"/>
          <w:szCs w:val="20"/>
        </w:rPr>
      </w:pPr>
      <w:r>
        <w:rPr>
          <w:rFonts w:cs="Calibri"/>
        </w:rPr>
        <w:t>Pelo exposto e por tudo mais que dos autos consta, requer a total improcedência dos pedidos da parte autora.</w:t>
      </w:r>
    </w:p>
    <w:p w14:paraId="02D2B9DA" w14:textId="72A956B1" w:rsidR="004767F5" w:rsidRDefault="00291592">
      <w:pPr>
        <w:spacing w:before="200" w:after="200" w:line="240" w:lineRule="auto"/>
        <w:jc w:val="both"/>
        <w:rPr>
          <w:rFonts w:cs="Calibri"/>
          <w:sz w:val="20"/>
          <w:szCs w:val="20"/>
        </w:rPr>
      </w:pPr>
      <w:r>
        <w:rPr>
          <w:rFonts w:cs="Calibri"/>
        </w:rPr>
        <w:t xml:space="preserve">Requer a Ré que todas as intimações sejam encaminhadas ao escritório de seus patronos, sito na </w:t>
      </w:r>
      <w:r>
        <w:rPr>
          <w:rFonts w:cs="Calibri"/>
          <w:color w:val="000000"/>
          <w:sz w:val="20"/>
          <w:szCs w:val="20"/>
        </w:rPr>
        <w:t xml:space="preserve">Rua do Passeio, 38, Torre 2, 15 andar, Sala 1509/1512 – Centro - CEP:20021-290 – RJ – Rio de Janeiro </w:t>
      </w:r>
      <w:r>
        <w:rPr>
          <w:rFonts w:cs="Calibri"/>
        </w:rPr>
        <w:t xml:space="preserve">e que as publicações sejam realizadas, exclusivamente, em nome do patrono </w:t>
      </w:r>
      <w:r>
        <w:rPr>
          <w:rFonts w:cs="Calibri"/>
          <w:b/>
          <w:bCs/>
          <w:u w:val="single"/>
        </w:rPr>
        <w:t>Dr. JOÃO ALVES BARBOSA FILHO,</w:t>
      </w:r>
      <w:r>
        <w:rPr>
          <w:rFonts w:cs="Calibri"/>
        </w:rPr>
        <w:t xml:space="preserve"> inscrito sob o nº </w:t>
      </w:r>
      <w:r>
        <w:rPr>
          <w:rFonts w:cs="Calibri"/>
          <w:b/>
          <w:bCs/>
          <w:u w:val="single"/>
        </w:rPr>
        <w:t>OAB/RS 90657-A,</w:t>
      </w:r>
      <w:r>
        <w:rPr>
          <w:rFonts w:cs="Calibri"/>
        </w:rPr>
        <w:t xml:space="preserve"> sob pena de nulidade das mesmas.</w:t>
      </w:r>
    </w:p>
    <w:p w14:paraId="0A02439E" w14:textId="328A3C56" w:rsidR="004767F5" w:rsidRDefault="00291592" w:rsidP="00291592">
      <w:pPr>
        <w:spacing w:before="200" w:after="200" w:line="240" w:lineRule="auto"/>
        <w:jc w:val="both"/>
        <w:rPr>
          <w:rFonts w:cs="Calibri"/>
          <w:sz w:val="20"/>
          <w:szCs w:val="20"/>
        </w:rPr>
      </w:pPr>
      <w:r>
        <w:rPr>
          <w:rFonts w:cs="Calibri"/>
          <w:sz w:val="20"/>
          <w:szCs w:val="20"/>
        </w:rPr>
        <w:t> </w:t>
      </w:r>
    </w:p>
    <w:p w14:paraId="2848D490" w14:textId="688A62BD" w:rsidR="004767F5" w:rsidRDefault="00291592">
      <w:pPr>
        <w:spacing w:before="200" w:after="200" w:line="240" w:lineRule="auto"/>
        <w:jc w:val="center"/>
        <w:rPr>
          <w:rFonts w:cs="Calibri"/>
          <w:sz w:val="20"/>
          <w:szCs w:val="20"/>
        </w:rPr>
      </w:pPr>
      <w:r>
        <w:rPr>
          <w:rFonts w:cs="Calibri"/>
        </w:rPr>
        <w:t>Nestes Termos,</w:t>
      </w:r>
      <w:r>
        <w:rPr>
          <w:rFonts w:cs="Calibri"/>
        </w:rPr>
        <w:br/>
        <w:t> Pede Deferimento,</w:t>
      </w:r>
      <w:r>
        <w:rPr>
          <w:rFonts w:cs="Calibri"/>
        </w:rPr>
        <w:br/>
      </w:r>
      <w:r>
        <w:rPr>
          <w:rFonts w:cs="Calibri"/>
        </w:rPr>
        <w:br/>
      </w:r>
      <w:r w:rsidR="006A71F7">
        <w:rPr>
          <w:rFonts w:cs="Calibri"/>
        </w:rPr>
        <w:t>CAXIAS DO SUL</w:t>
      </w:r>
      <w:r>
        <w:rPr>
          <w:rFonts w:cs="Calibri"/>
        </w:rPr>
        <w:t xml:space="preserve">, </w:t>
      </w:r>
      <w:r w:rsidR="006A71F7">
        <w:rPr>
          <w:rFonts w:cs="Calibri"/>
        </w:rPr>
        <w:t>02</w:t>
      </w:r>
      <w:r>
        <w:rPr>
          <w:rFonts w:cs="Calibri"/>
        </w:rPr>
        <w:t xml:space="preserve"> de </w:t>
      </w:r>
      <w:r w:rsidR="006A71F7">
        <w:rPr>
          <w:rFonts w:cs="Calibri"/>
        </w:rPr>
        <w:t>Abril</w:t>
      </w:r>
      <w:r>
        <w:rPr>
          <w:rFonts w:cs="Calibri"/>
        </w:rPr>
        <w:t xml:space="preserve"> de 2023.</w:t>
      </w:r>
      <w:r>
        <w:rPr>
          <w:rFonts w:cs="Calibri"/>
        </w:rPr>
        <w:br/>
      </w:r>
      <w:r>
        <w:rPr>
          <w:rFonts w:cs="Calibri"/>
        </w:rPr>
        <w:br/>
      </w:r>
      <w:r>
        <w:rPr>
          <w:rFonts w:cs="Calibri"/>
          <w:b/>
          <w:bCs/>
        </w:rPr>
        <w:t>JOÃO BARBOSA</w:t>
      </w:r>
      <w:r>
        <w:rPr>
          <w:rFonts w:cs="Calibri"/>
          <w:b/>
          <w:bCs/>
        </w:rPr>
        <w:br/>
        <w:t>OAB/RS 90657-A</w:t>
      </w:r>
      <w:r>
        <w:rPr>
          <w:rFonts w:cs="Calibri"/>
          <w:b/>
          <w:bCs/>
        </w:rPr>
        <w:br/>
      </w:r>
      <w:r>
        <w:rPr>
          <w:rFonts w:cs="Calibri"/>
          <w:sz w:val="20"/>
          <w:szCs w:val="20"/>
        </w:rPr>
        <w:t> </w:t>
      </w:r>
    </w:p>
    <w:p w14:paraId="0D0F5B3A" w14:textId="77777777" w:rsidR="004767F5" w:rsidRDefault="00291592">
      <w:pPr>
        <w:spacing w:before="200" w:after="200" w:line="240" w:lineRule="auto"/>
        <w:jc w:val="center"/>
        <w:rPr>
          <w:rFonts w:cs="Calibri"/>
          <w:sz w:val="20"/>
          <w:szCs w:val="20"/>
        </w:rPr>
      </w:pPr>
      <w:r>
        <w:rPr>
          <w:rFonts w:cs="Calibri"/>
          <w:sz w:val="20"/>
          <w:szCs w:val="20"/>
        </w:rPr>
        <w:t> </w:t>
      </w:r>
    </w:p>
    <w:p w14:paraId="212B7B6A" w14:textId="77777777" w:rsidR="004767F5" w:rsidRDefault="00291592">
      <w:pPr>
        <w:spacing w:before="200" w:after="200" w:line="240" w:lineRule="auto"/>
        <w:jc w:val="center"/>
        <w:rPr>
          <w:rFonts w:cs="Calibri"/>
          <w:sz w:val="20"/>
          <w:szCs w:val="20"/>
        </w:rPr>
      </w:pPr>
      <w:r>
        <w:rPr>
          <w:rFonts w:cs="Calibri"/>
          <w:sz w:val="20"/>
          <w:szCs w:val="20"/>
        </w:rPr>
        <w:t> </w:t>
      </w:r>
    </w:p>
    <w:p w14:paraId="1C2A65F4" w14:textId="77777777" w:rsidR="004767F5" w:rsidRDefault="00291592">
      <w:pPr>
        <w:spacing w:before="200" w:after="200" w:line="240" w:lineRule="auto"/>
        <w:jc w:val="center"/>
        <w:rPr>
          <w:rFonts w:cs="Calibri"/>
          <w:sz w:val="20"/>
          <w:szCs w:val="20"/>
        </w:rPr>
      </w:pPr>
      <w:r>
        <w:rPr>
          <w:rFonts w:cs="Calibri"/>
          <w:sz w:val="20"/>
          <w:szCs w:val="20"/>
        </w:rPr>
        <w:t> </w:t>
      </w:r>
    </w:p>
    <w:sectPr w:rsidR="004767F5" w:rsidSect="0076787A">
      <w:footerReference w:type="default" r:id="rId9"/>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B22D1" w14:textId="77777777" w:rsidR="00606A04" w:rsidRDefault="00291592">
      <w:pPr>
        <w:spacing w:after="0" w:line="240" w:lineRule="auto"/>
      </w:pPr>
      <w:r>
        <w:separator/>
      </w:r>
    </w:p>
  </w:endnote>
  <w:endnote w:type="continuationSeparator" w:id="0">
    <w:p w14:paraId="592661A2" w14:textId="77777777" w:rsidR="00606A04" w:rsidRDefault="0029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8477" w14:textId="77777777" w:rsidR="00FA2C18" w:rsidRDefault="00291592" w:rsidP="00FE5317">
    <w:pPr>
      <w:pStyle w:val="Rodap"/>
      <w:jc w:val="center"/>
      <w:rPr>
        <w:sz w:val="18"/>
      </w:rPr>
    </w:pPr>
    <w:r w:rsidRPr="00FA2C18">
      <w:rPr>
        <w:sz w:val="18"/>
      </w:rPr>
      <w:t>Rua do Passeio, 38, Torre 2, 15º andar - Sala 1509/1512 – Centro - RJ – Rio de Janeiro - CEP:20021-290</w:t>
    </w:r>
  </w:p>
  <w:p w14:paraId="73479ECC" w14:textId="77777777" w:rsidR="00FE5317" w:rsidRPr="00FE5317" w:rsidRDefault="00291592" w:rsidP="00FE5317">
    <w:pPr>
      <w:pStyle w:val="Rodap"/>
      <w:jc w:val="center"/>
      <w:rPr>
        <w:sz w:val="18"/>
      </w:rPr>
    </w:pPr>
    <w:r w:rsidRPr="00FE5317">
      <w:rPr>
        <w:sz w:val="18"/>
      </w:rPr>
      <w:t>www.joaobarbosaadvass.com.br</w:t>
    </w:r>
  </w:p>
  <w:p w14:paraId="1DA3E296"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18E7" w14:textId="77777777" w:rsidR="007E1F86" w:rsidRDefault="00291592" w:rsidP="00FE5317">
      <w:pPr>
        <w:spacing w:after="0" w:line="240" w:lineRule="auto"/>
      </w:pPr>
      <w:r>
        <w:separator/>
      </w:r>
    </w:p>
  </w:footnote>
  <w:footnote w:type="continuationSeparator" w:id="0">
    <w:p w14:paraId="775044CC" w14:textId="77777777" w:rsidR="007E1F86" w:rsidRDefault="00291592" w:rsidP="00FE5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F882758">
      <w:start w:val="1"/>
      <w:numFmt w:val="bullet"/>
      <w:lvlText w:val=""/>
      <w:lvlJc w:val="left"/>
      <w:pPr>
        <w:ind w:left="720" w:hanging="360"/>
      </w:pPr>
      <w:rPr>
        <w:rFonts w:ascii="Symbol" w:hAnsi="Symbol"/>
      </w:rPr>
    </w:lvl>
    <w:lvl w:ilvl="1" w:tplc="E41A454A">
      <w:start w:val="1"/>
      <w:numFmt w:val="bullet"/>
      <w:lvlText w:val="o"/>
      <w:lvlJc w:val="left"/>
      <w:pPr>
        <w:tabs>
          <w:tab w:val="num" w:pos="1440"/>
        </w:tabs>
        <w:ind w:left="1440" w:hanging="360"/>
      </w:pPr>
      <w:rPr>
        <w:rFonts w:ascii="Courier New" w:hAnsi="Courier New"/>
      </w:rPr>
    </w:lvl>
    <w:lvl w:ilvl="2" w:tplc="7570EC1E">
      <w:start w:val="1"/>
      <w:numFmt w:val="bullet"/>
      <w:lvlText w:val=""/>
      <w:lvlJc w:val="left"/>
      <w:pPr>
        <w:tabs>
          <w:tab w:val="num" w:pos="2160"/>
        </w:tabs>
        <w:ind w:left="2160" w:hanging="360"/>
      </w:pPr>
      <w:rPr>
        <w:rFonts w:ascii="Wingdings" w:hAnsi="Wingdings"/>
      </w:rPr>
    </w:lvl>
    <w:lvl w:ilvl="3" w:tplc="F65257B0">
      <w:start w:val="1"/>
      <w:numFmt w:val="bullet"/>
      <w:lvlText w:val=""/>
      <w:lvlJc w:val="left"/>
      <w:pPr>
        <w:tabs>
          <w:tab w:val="num" w:pos="2880"/>
        </w:tabs>
        <w:ind w:left="2880" w:hanging="360"/>
      </w:pPr>
      <w:rPr>
        <w:rFonts w:ascii="Symbol" w:hAnsi="Symbol"/>
      </w:rPr>
    </w:lvl>
    <w:lvl w:ilvl="4" w:tplc="5868FA62">
      <w:start w:val="1"/>
      <w:numFmt w:val="bullet"/>
      <w:lvlText w:val="o"/>
      <w:lvlJc w:val="left"/>
      <w:pPr>
        <w:tabs>
          <w:tab w:val="num" w:pos="3600"/>
        </w:tabs>
        <w:ind w:left="3600" w:hanging="360"/>
      </w:pPr>
      <w:rPr>
        <w:rFonts w:ascii="Courier New" w:hAnsi="Courier New"/>
      </w:rPr>
    </w:lvl>
    <w:lvl w:ilvl="5" w:tplc="4558D796">
      <w:start w:val="1"/>
      <w:numFmt w:val="bullet"/>
      <w:lvlText w:val=""/>
      <w:lvlJc w:val="left"/>
      <w:pPr>
        <w:tabs>
          <w:tab w:val="num" w:pos="4320"/>
        </w:tabs>
        <w:ind w:left="4320" w:hanging="360"/>
      </w:pPr>
      <w:rPr>
        <w:rFonts w:ascii="Wingdings" w:hAnsi="Wingdings"/>
      </w:rPr>
    </w:lvl>
    <w:lvl w:ilvl="6" w:tplc="49EEA4D4">
      <w:start w:val="1"/>
      <w:numFmt w:val="bullet"/>
      <w:lvlText w:val=""/>
      <w:lvlJc w:val="left"/>
      <w:pPr>
        <w:tabs>
          <w:tab w:val="num" w:pos="5040"/>
        </w:tabs>
        <w:ind w:left="5040" w:hanging="360"/>
      </w:pPr>
      <w:rPr>
        <w:rFonts w:ascii="Symbol" w:hAnsi="Symbol"/>
      </w:rPr>
    </w:lvl>
    <w:lvl w:ilvl="7" w:tplc="C84245D2">
      <w:start w:val="1"/>
      <w:numFmt w:val="bullet"/>
      <w:lvlText w:val="o"/>
      <w:lvlJc w:val="left"/>
      <w:pPr>
        <w:tabs>
          <w:tab w:val="num" w:pos="5760"/>
        </w:tabs>
        <w:ind w:left="5760" w:hanging="360"/>
      </w:pPr>
      <w:rPr>
        <w:rFonts w:ascii="Courier New" w:hAnsi="Courier New"/>
      </w:rPr>
    </w:lvl>
    <w:lvl w:ilvl="8" w:tplc="002C16B2">
      <w:start w:val="1"/>
      <w:numFmt w:val="bullet"/>
      <w:lvlText w:val=""/>
      <w:lvlJc w:val="left"/>
      <w:pPr>
        <w:tabs>
          <w:tab w:val="num" w:pos="6480"/>
        </w:tabs>
        <w:ind w:left="6480" w:hanging="360"/>
      </w:pPr>
      <w:rPr>
        <w:rFonts w:ascii="Wingdings" w:hAnsi="Wingdings"/>
      </w:rPr>
    </w:lvl>
  </w:abstractNum>
  <w:num w:numId="1" w16cid:durableId="117487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291592"/>
    <w:rsid w:val="00326B23"/>
    <w:rsid w:val="003349B7"/>
    <w:rsid w:val="0037684E"/>
    <w:rsid w:val="00387F34"/>
    <w:rsid w:val="003F5DCE"/>
    <w:rsid w:val="00404C94"/>
    <w:rsid w:val="004767F5"/>
    <w:rsid w:val="00486EBB"/>
    <w:rsid w:val="0052134B"/>
    <w:rsid w:val="00530F86"/>
    <w:rsid w:val="005663F9"/>
    <w:rsid w:val="005869BC"/>
    <w:rsid w:val="005D4224"/>
    <w:rsid w:val="005E1F47"/>
    <w:rsid w:val="00606A04"/>
    <w:rsid w:val="00654BB2"/>
    <w:rsid w:val="006A71F7"/>
    <w:rsid w:val="006B1470"/>
    <w:rsid w:val="006F66E3"/>
    <w:rsid w:val="006F7A6B"/>
    <w:rsid w:val="00701612"/>
    <w:rsid w:val="0076787A"/>
    <w:rsid w:val="007B689A"/>
    <w:rsid w:val="007E1F86"/>
    <w:rsid w:val="00873596"/>
    <w:rsid w:val="008E1AB2"/>
    <w:rsid w:val="00956E0D"/>
    <w:rsid w:val="009A636B"/>
    <w:rsid w:val="009D3C6C"/>
    <w:rsid w:val="009E3B76"/>
    <w:rsid w:val="00E67247"/>
    <w:rsid w:val="00EB6B0C"/>
    <w:rsid w:val="00EC3A99"/>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CEBF"/>
  <w15:docId w15:val="{B1D53E81-F9B1-477C-BA7B-E1908A80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character" w:customStyle="1" w:styleId="var">
    <w:name w:val="var"/>
    <w:basedOn w:val="Fontepargpadro"/>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63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4214</Words>
  <Characters>22759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3</cp:revision>
  <dcterms:created xsi:type="dcterms:W3CDTF">2023-04-02T19:07:00Z</dcterms:created>
  <dcterms:modified xsi:type="dcterms:W3CDTF">2023-04-02T19:09:00Z</dcterms:modified>
</cp:coreProperties>
</file>