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5E83" w14:textId="720C451D" w:rsidR="00DA4388" w:rsidRDefault="00DA4388" w:rsidP="00396D72">
      <w:pPr>
        <w:spacing w:after="200" w:line="240" w:lineRule="auto"/>
        <w:ind w:right="426"/>
        <w:jc w:val="right"/>
        <w:rPr>
          <w:rFonts w:cs="Calibri"/>
          <w:sz w:val="20"/>
          <w:szCs w:val="20"/>
        </w:rPr>
      </w:pP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DA4388" w14:paraId="55EFB4E8" w14:textId="77777777">
        <w:trPr>
          <w:tblCellSpacing w:w="0" w:type="dxa"/>
        </w:trPr>
        <w:tc>
          <w:tcPr>
            <w:tcW w:w="0" w:type="auto"/>
            <w:tcMar>
              <w:top w:w="0" w:type="dxa"/>
              <w:left w:w="0" w:type="dxa"/>
              <w:bottom w:w="0" w:type="dxa"/>
              <w:right w:w="0" w:type="dxa"/>
            </w:tcMar>
            <w:vAlign w:val="center"/>
            <w:hideMark/>
          </w:tcPr>
          <w:p w14:paraId="191BAE05" w14:textId="77777777" w:rsidR="00DA4388" w:rsidRDefault="005941C5" w:rsidP="00396D72">
            <w:pPr>
              <w:spacing w:after="0" w:line="240" w:lineRule="auto"/>
              <w:ind w:right="426"/>
              <w:jc w:val="center"/>
              <w:rPr>
                <w:rFonts w:cs="Calibri"/>
                <w:color w:val="000000"/>
                <w:sz w:val="24"/>
                <w:szCs w:val="24"/>
              </w:rPr>
            </w:pPr>
            <w:r>
              <w:rPr>
                <w:rFonts w:cs="Calibri"/>
                <w:noProof/>
                <w:color w:val="000000"/>
                <w:sz w:val="24"/>
                <w:szCs w:val="24"/>
              </w:rPr>
              <w:drawing>
                <wp:inline distT="0" distB="0" distL="0" distR="0" wp14:anchorId="172C136E" wp14:editId="10F22EF1">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67FBFFDF" w14:textId="77777777" w:rsidR="00DA4388" w:rsidRDefault="005941C5" w:rsidP="00396D72">
      <w:pPr>
        <w:spacing w:after="200" w:line="240" w:lineRule="auto"/>
        <w:ind w:right="426"/>
        <w:jc w:val="both"/>
        <w:rPr>
          <w:rFonts w:cs="Calibri"/>
          <w:sz w:val="20"/>
          <w:szCs w:val="20"/>
        </w:rPr>
      </w:pPr>
      <w:r>
        <w:rPr>
          <w:rFonts w:cs="Calibri"/>
          <w:sz w:val="20"/>
          <w:szCs w:val="20"/>
        </w:rPr>
        <w:t> </w:t>
      </w:r>
    </w:p>
    <w:p w14:paraId="4993F4D0" w14:textId="77777777" w:rsidR="00DA4388" w:rsidRDefault="005941C5" w:rsidP="00396D72">
      <w:pPr>
        <w:spacing w:before="200" w:after="200" w:line="240" w:lineRule="auto"/>
        <w:ind w:right="426"/>
        <w:jc w:val="both"/>
        <w:rPr>
          <w:rFonts w:cs="Calibri"/>
          <w:sz w:val="20"/>
          <w:szCs w:val="20"/>
        </w:rPr>
      </w:pPr>
      <w:r>
        <w:rPr>
          <w:rFonts w:cs="Calibri"/>
          <w:sz w:val="20"/>
          <w:szCs w:val="20"/>
        </w:rPr>
        <w:t> </w:t>
      </w:r>
    </w:p>
    <w:p w14:paraId="4C23B17E" w14:textId="77777777" w:rsidR="00DA4388" w:rsidRDefault="005941C5" w:rsidP="00396D72">
      <w:pPr>
        <w:spacing w:before="200" w:after="200" w:line="240" w:lineRule="auto"/>
        <w:ind w:right="426"/>
        <w:jc w:val="both"/>
        <w:rPr>
          <w:rFonts w:cs="Calibri"/>
          <w:sz w:val="20"/>
          <w:szCs w:val="20"/>
        </w:rPr>
      </w:pPr>
      <w:r>
        <w:rPr>
          <w:rFonts w:cs="Calibri"/>
          <w:sz w:val="20"/>
          <w:szCs w:val="20"/>
        </w:rPr>
        <w:t> </w:t>
      </w:r>
    </w:p>
    <w:p w14:paraId="105D1820" w14:textId="77777777" w:rsidR="00DA4388" w:rsidRDefault="005941C5" w:rsidP="00396D72">
      <w:pPr>
        <w:spacing w:before="200" w:after="200" w:line="240" w:lineRule="auto"/>
        <w:ind w:right="426"/>
        <w:jc w:val="center"/>
        <w:rPr>
          <w:rFonts w:cs="Calibri"/>
          <w:sz w:val="20"/>
          <w:szCs w:val="20"/>
        </w:rPr>
      </w:pPr>
      <w:r>
        <w:rPr>
          <w:rFonts w:cs="Calibri"/>
          <w:sz w:val="20"/>
          <w:szCs w:val="20"/>
        </w:rPr>
        <w:t> </w:t>
      </w:r>
    </w:p>
    <w:p w14:paraId="5E7345EF" w14:textId="77777777" w:rsidR="00DA4388" w:rsidRPr="003E11A0" w:rsidRDefault="005941C5" w:rsidP="00396D72">
      <w:pPr>
        <w:spacing w:before="200" w:after="200" w:line="240" w:lineRule="auto"/>
        <w:ind w:right="426"/>
        <w:jc w:val="both"/>
        <w:rPr>
          <w:rFonts w:cs="Calibri"/>
        </w:rPr>
      </w:pPr>
      <w:r w:rsidRPr="003E11A0">
        <w:rPr>
          <w:rFonts w:cs="Calibri"/>
        </w:rPr>
        <w:t> </w:t>
      </w:r>
    </w:p>
    <w:p w14:paraId="074ED884" w14:textId="77777777" w:rsidR="00DA4388" w:rsidRPr="003E11A0" w:rsidRDefault="005941C5" w:rsidP="00396D72">
      <w:pPr>
        <w:spacing w:before="200" w:after="200" w:line="240" w:lineRule="auto"/>
        <w:ind w:right="426"/>
        <w:jc w:val="both"/>
        <w:rPr>
          <w:rFonts w:cs="Calibri"/>
        </w:rPr>
      </w:pPr>
      <w:r w:rsidRPr="003E11A0">
        <w:rPr>
          <w:rFonts w:cs="Calibri"/>
        </w:rPr>
        <w:t> </w:t>
      </w:r>
    </w:p>
    <w:p w14:paraId="77468F4A" w14:textId="39EF648F" w:rsidR="00DA4388" w:rsidRPr="002D5FB7" w:rsidRDefault="005941C5" w:rsidP="00396D72">
      <w:pPr>
        <w:spacing w:before="200" w:after="200" w:line="240" w:lineRule="auto"/>
        <w:ind w:right="426"/>
        <w:jc w:val="both"/>
        <w:rPr>
          <w:rFonts w:cs="Calibri"/>
          <w:sz w:val="24"/>
          <w:szCs w:val="24"/>
        </w:rPr>
      </w:pPr>
      <w:r w:rsidRPr="003E11A0">
        <w:rPr>
          <w:rFonts w:cs="Calibri"/>
        </w:rPr>
        <w:t> </w:t>
      </w:r>
      <w:r w:rsidRPr="002D5FB7">
        <w:rPr>
          <w:rFonts w:cs="Calibri"/>
          <w:b/>
          <w:bCs/>
          <w:sz w:val="24"/>
          <w:szCs w:val="24"/>
        </w:rPr>
        <w:t>EXM</w:t>
      </w:r>
      <w:r w:rsidR="004C7639" w:rsidRPr="002D5FB7">
        <w:rPr>
          <w:rFonts w:cs="Calibri"/>
          <w:b/>
          <w:bCs/>
          <w:sz w:val="24"/>
          <w:szCs w:val="24"/>
        </w:rPr>
        <w:t>O</w:t>
      </w:r>
      <w:r w:rsidRPr="002D5FB7">
        <w:rPr>
          <w:rFonts w:cs="Calibri"/>
          <w:b/>
          <w:bCs/>
          <w:sz w:val="24"/>
          <w:szCs w:val="24"/>
        </w:rPr>
        <w:t xml:space="preserve">. SR. DR. JUIZ </w:t>
      </w:r>
      <w:r w:rsidR="008B00C4" w:rsidRPr="002D5FB7">
        <w:rPr>
          <w:rFonts w:cs="Calibri"/>
          <w:b/>
          <w:bCs/>
          <w:sz w:val="24"/>
          <w:szCs w:val="24"/>
        </w:rPr>
        <w:t>FEDERAL</w:t>
      </w:r>
      <w:r w:rsidR="004C7639" w:rsidRPr="002D5FB7">
        <w:rPr>
          <w:rFonts w:cs="Calibri"/>
          <w:b/>
          <w:bCs/>
          <w:sz w:val="24"/>
          <w:szCs w:val="24"/>
        </w:rPr>
        <w:t xml:space="preserve"> </w:t>
      </w:r>
      <w:r w:rsidRPr="002D5FB7">
        <w:rPr>
          <w:rFonts w:cs="Calibri"/>
          <w:b/>
          <w:bCs/>
          <w:sz w:val="24"/>
          <w:szCs w:val="24"/>
        </w:rPr>
        <w:t>D</w:t>
      </w:r>
      <w:r w:rsidR="008B00C4" w:rsidRPr="002D5FB7">
        <w:rPr>
          <w:rFonts w:cs="Calibri"/>
          <w:b/>
          <w:bCs/>
          <w:sz w:val="24"/>
          <w:szCs w:val="24"/>
        </w:rPr>
        <w:t>A</w:t>
      </w:r>
      <w:r w:rsidRPr="002D5FB7">
        <w:rPr>
          <w:rFonts w:cs="Calibri"/>
          <w:b/>
          <w:bCs/>
          <w:sz w:val="24"/>
          <w:szCs w:val="24"/>
        </w:rPr>
        <w:t xml:space="preserve"> </w:t>
      </w:r>
      <w:r w:rsidR="00181DE2" w:rsidRPr="002D5FB7">
        <w:rPr>
          <w:rFonts w:cs="Calibri"/>
          <w:b/>
          <w:bCs/>
          <w:sz w:val="24"/>
          <w:szCs w:val="24"/>
        </w:rPr>
        <w:t>2</w:t>
      </w:r>
      <w:r w:rsidR="00396D72" w:rsidRPr="002D5FB7">
        <w:rPr>
          <w:rFonts w:cs="Calibri"/>
          <w:b/>
          <w:bCs/>
          <w:sz w:val="24"/>
          <w:szCs w:val="24"/>
        </w:rPr>
        <w:t xml:space="preserve">ª VARA FEDERAL DA SUBSEÇÃO DE </w:t>
      </w:r>
      <w:r w:rsidR="00886EC8">
        <w:rPr>
          <w:rFonts w:cs="Calibri"/>
          <w:b/>
          <w:bCs/>
          <w:sz w:val="24"/>
          <w:szCs w:val="24"/>
        </w:rPr>
        <w:t>URUGUAINA</w:t>
      </w:r>
      <w:r w:rsidR="004C7639" w:rsidRPr="002D5FB7">
        <w:rPr>
          <w:rFonts w:cs="Calibri"/>
          <w:b/>
          <w:bCs/>
          <w:sz w:val="24"/>
          <w:szCs w:val="24"/>
        </w:rPr>
        <w:t xml:space="preserve"> DA</w:t>
      </w:r>
      <w:r w:rsidRPr="002D5FB7">
        <w:rPr>
          <w:rFonts w:cs="Calibri"/>
          <w:b/>
          <w:bCs/>
          <w:sz w:val="24"/>
          <w:szCs w:val="24"/>
        </w:rPr>
        <w:t xml:space="preserve"> </w:t>
      </w:r>
      <w:r w:rsidR="008B00C4" w:rsidRPr="002D5FB7">
        <w:rPr>
          <w:rFonts w:cs="Calibri"/>
          <w:b/>
          <w:bCs/>
          <w:sz w:val="24"/>
          <w:szCs w:val="24"/>
        </w:rPr>
        <w:t>SEÇÃO JUDICIÁRIA DO RIO GRANDE DO SUL</w:t>
      </w:r>
    </w:p>
    <w:p w14:paraId="68F3FC25" w14:textId="77777777" w:rsidR="00DA4388" w:rsidRPr="002D5FB7" w:rsidRDefault="005941C5" w:rsidP="00396D72">
      <w:pPr>
        <w:spacing w:before="200" w:after="200" w:line="240" w:lineRule="auto"/>
        <w:ind w:right="426"/>
        <w:jc w:val="both"/>
        <w:rPr>
          <w:rFonts w:cs="Calibri"/>
          <w:sz w:val="24"/>
          <w:szCs w:val="24"/>
        </w:rPr>
      </w:pPr>
      <w:r w:rsidRPr="002D5FB7">
        <w:rPr>
          <w:rFonts w:cs="Calibri"/>
          <w:sz w:val="24"/>
          <w:szCs w:val="24"/>
        </w:rPr>
        <w:t> </w:t>
      </w:r>
    </w:p>
    <w:p w14:paraId="70D5ED8D" w14:textId="12F79B7D" w:rsidR="005941C5" w:rsidRPr="002D5FB7" w:rsidRDefault="00886EC8" w:rsidP="00396D72">
      <w:pPr>
        <w:spacing w:before="200" w:after="200" w:line="240" w:lineRule="auto"/>
        <w:ind w:right="426"/>
        <w:jc w:val="both"/>
        <w:rPr>
          <w:rFonts w:cs="Calibri"/>
          <w:sz w:val="24"/>
          <w:szCs w:val="24"/>
        </w:rPr>
      </w:pPr>
      <w:r w:rsidRPr="00886EC8">
        <w:rPr>
          <w:rFonts w:cs="Calibri"/>
          <w:b/>
          <w:bCs/>
          <w:sz w:val="24"/>
          <w:szCs w:val="24"/>
        </w:rPr>
        <w:t>EMBARGOS À EXECUÇÃO Nº</w:t>
      </w:r>
      <w:r>
        <w:rPr>
          <w:rFonts w:cs="Calibri"/>
          <w:b/>
          <w:bCs/>
          <w:sz w:val="24"/>
          <w:szCs w:val="24"/>
        </w:rPr>
        <w:t>:</w:t>
      </w:r>
      <w:r w:rsidRPr="00886EC8">
        <w:rPr>
          <w:rFonts w:cs="Calibri"/>
          <w:b/>
          <w:bCs/>
          <w:sz w:val="24"/>
          <w:szCs w:val="24"/>
        </w:rPr>
        <w:t xml:space="preserve"> 5001251-78.2022.4.04.7103/RS</w:t>
      </w:r>
    </w:p>
    <w:p w14:paraId="70112798" w14:textId="411E8923" w:rsidR="008F4CF5" w:rsidRPr="002D5FB7" w:rsidRDefault="005941C5" w:rsidP="00396D72">
      <w:pPr>
        <w:spacing w:line="320" w:lineRule="exact"/>
        <w:ind w:right="426" w:firstLine="1440"/>
        <w:jc w:val="both"/>
        <w:rPr>
          <w:rFonts w:cs="Calibri"/>
          <w:sz w:val="24"/>
          <w:szCs w:val="24"/>
        </w:rPr>
      </w:pPr>
      <w:r w:rsidRPr="002D5FB7">
        <w:rPr>
          <w:rFonts w:cs="Calibri"/>
          <w:b/>
          <w:bCs/>
          <w:sz w:val="24"/>
          <w:szCs w:val="24"/>
        </w:rPr>
        <w:t>                              CAIXA ECONOMICA FEDERAL</w:t>
      </w:r>
      <w:r w:rsidRPr="002D5FB7">
        <w:rPr>
          <w:rFonts w:cs="Calibri"/>
          <w:sz w:val="24"/>
          <w:szCs w:val="24"/>
        </w:rPr>
        <w:t xml:space="preserve">, previamente qualificada nos autos do processo em epígrafe, neste ato, representada por seus advogados que </w:t>
      </w:r>
      <w:proofErr w:type="gramStart"/>
      <w:r w:rsidRPr="002D5FB7">
        <w:rPr>
          <w:rFonts w:cs="Calibri"/>
          <w:sz w:val="24"/>
          <w:szCs w:val="24"/>
        </w:rPr>
        <w:t>esta subscrevem</w:t>
      </w:r>
      <w:proofErr w:type="gramEnd"/>
      <w:r w:rsidRPr="002D5FB7">
        <w:rPr>
          <w:rFonts w:cs="Calibri"/>
          <w:sz w:val="24"/>
          <w:szCs w:val="24"/>
        </w:rPr>
        <w:t xml:space="preserve">, nos autos da </w:t>
      </w:r>
      <w:r w:rsidRPr="002D5FB7">
        <w:rPr>
          <w:rFonts w:cs="Calibri"/>
          <w:b/>
          <w:bCs/>
          <w:i/>
          <w:iCs/>
          <w:sz w:val="24"/>
          <w:szCs w:val="24"/>
        </w:rPr>
        <w:t xml:space="preserve">AÇÃO </w:t>
      </w:r>
      <w:r w:rsidR="004C7639" w:rsidRPr="002D5FB7">
        <w:rPr>
          <w:rFonts w:cs="Calibri"/>
          <w:b/>
          <w:bCs/>
          <w:i/>
          <w:iCs/>
          <w:sz w:val="24"/>
          <w:szCs w:val="24"/>
        </w:rPr>
        <w:t>DE INDENIZAÇÃO</w:t>
      </w:r>
      <w:r w:rsidRPr="002D5FB7">
        <w:rPr>
          <w:rFonts w:cs="Calibri"/>
          <w:b/>
          <w:bCs/>
          <w:i/>
          <w:iCs/>
          <w:sz w:val="24"/>
          <w:szCs w:val="24"/>
        </w:rPr>
        <w:t xml:space="preserve">, </w:t>
      </w:r>
      <w:r w:rsidRPr="002D5FB7">
        <w:rPr>
          <w:rFonts w:cs="Calibri"/>
          <w:sz w:val="24"/>
          <w:szCs w:val="24"/>
        </w:rPr>
        <w:t xml:space="preserve">que lhe promove </w:t>
      </w:r>
      <w:r w:rsidR="00013CE3" w:rsidRPr="00013CE3">
        <w:rPr>
          <w:rFonts w:cs="Calibri"/>
          <w:b/>
          <w:bCs/>
          <w:sz w:val="24"/>
          <w:szCs w:val="24"/>
        </w:rPr>
        <w:t>RESIDENCIAL SANTA MARIA</w:t>
      </w:r>
      <w:r w:rsidR="00320DCE" w:rsidRPr="002D5FB7">
        <w:rPr>
          <w:rFonts w:cs="Calibri"/>
          <w:b/>
          <w:bCs/>
          <w:sz w:val="24"/>
          <w:szCs w:val="24"/>
        </w:rPr>
        <w:t xml:space="preserve">, </w:t>
      </w:r>
      <w:r w:rsidR="00E962C2" w:rsidRPr="002D5FB7">
        <w:rPr>
          <w:rFonts w:cs="Calibri"/>
          <w:sz w:val="24"/>
          <w:szCs w:val="24"/>
        </w:rPr>
        <w:t xml:space="preserve">vem, por seus advogados abaixo assinados, em atenção ao </w:t>
      </w:r>
      <w:r w:rsidR="00090C70" w:rsidRPr="002D5FB7">
        <w:rPr>
          <w:rFonts w:cs="Calibri"/>
          <w:sz w:val="24"/>
          <w:szCs w:val="24"/>
        </w:rPr>
        <w:t>recurso interposto pela parte autora</w:t>
      </w:r>
      <w:r w:rsidR="00E962C2" w:rsidRPr="002D5FB7">
        <w:rPr>
          <w:rFonts w:cs="Calibri"/>
          <w:sz w:val="24"/>
          <w:szCs w:val="24"/>
        </w:rPr>
        <w:t>,</w:t>
      </w:r>
      <w:r w:rsidR="00320DCE" w:rsidRPr="002D5FB7">
        <w:rPr>
          <w:rFonts w:cs="Calibri"/>
          <w:sz w:val="24"/>
          <w:szCs w:val="24"/>
        </w:rPr>
        <w:t xml:space="preserve"> pelas razões e fundamentos a seguir expostos,</w:t>
      </w:r>
      <w:r w:rsidR="004C7639" w:rsidRPr="002D5FB7">
        <w:rPr>
          <w:rFonts w:cs="Calibri"/>
          <w:sz w:val="24"/>
          <w:szCs w:val="24"/>
        </w:rPr>
        <w:t xml:space="preserve"> apresentar suas:</w:t>
      </w:r>
    </w:p>
    <w:p w14:paraId="7FFA8188" w14:textId="484840B5" w:rsidR="004C7639" w:rsidRPr="002D5FB7" w:rsidRDefault="004C7639" w:rsidP="00396D72">
      <w:pPr>
        <w:spacing w:line="320" w:lineRule="exact"/>
        <w:ind w:right="426" w:firstLine="1440"/>
        <w:jc w:val="both"/>
        <w:rPr>
          <w:rFonts w:cs="Calibri"/>
          <w:sz w:val="24"/>
          <w:szCs w:val="24"/>
        </w:rPr>
      </w:pPr>
    </w:p>
    <w:p w14:paraId="16E734CD" w14:textId="5A930EA3" w:rsidR="004C7639" w:rsidRPr="002D5FB7" w:rsidRDefault="004C7639" w:rsidP="00396D72">
      <w:pPr>
        <w:spacing w:line="320" w:lineRule="exact"/>
        <w:ind w:right="426" w:firstLine="1440"/>
        <w:jc w:val="center"/>
        <w:rPr>
          <w:rFonts w:cs="Calibri"/>
          <w:b/>
          <w:bCs/>
          <w:sz w:val="24"/>
          <w:szCs w:val="24"/>
          <w:u w:val="single"/>
        </w:rPr>
      </w:pPr>
      <w:r w:rsidRPr="002D5FB7">
        <w:rPr>
          <w:rFonts w:cs="Calibri"/>
          <w:b/>
          <w:bCs/>
          <w:sz w:val="24"/>
          <w:szCs w:val="24"/>
          <w:u w:val="single"/>
        </w:rPr>
        <w:t xml:space="preserve">CONTRARRAZÕES AO RECURSO </w:t>
      </w:r>
      <w:r w:rsidR="0004661C" w:rsidRPr="002D5FB7">
        <w:rPr>
          <w:rFonts w:cs="Calibri"/>
          <w:b/>
          <w:bCs/>
          <w:sz w:val="24"/>
          <w:szCs w:val="24"/>
          <w:u w:val="single"/>
        </w:rPr>
        <w:t>INOMINADO</w:t>
      </w:r>
    </w:p>
    <w:p w14:paraId="11F6A7B2" w14:textId="77777777" w:rsidR="00673F32" w:rsidRPr="002D5FB7" w:rsidRDefault="00673F32" w:rsidP="00396D72">
      <w:pPr>
        <w:spacing w:before="200" w:after="200" w:line="240" w:lineRule="auto"/>
        <w:ind w:right="426" w:firstLine="708"/>
        <w:jc w:val="both"/>
        <w:rPr>
          <w:rFonts w:cs="Calibri"/>
          <w:sz w:val="24"/>
          <w:szCs w:val="24"/>
        </w:rPr>
      </w:pPr>
    </w:p>
    <w:p w14:paraId="501A7F18" w14:textId="29E3049A" w:rsidR="008F4CF5" w:rsidRPr="002D5FB7" w:rsidRDefault="00090C70" w:rsidP="00396D72">
      <w:pPr>
        <w:spacing w:before="200" w:after="200" w:line="240" w:lineRule="auto"/>
        <w:ind w:right="426" w:firstLine="708"/>
        <w:jc w:val="both"/>
        <w:rPr>
          <w:rFonts w:cs="Calibri"/>
          <w:sz w:val="24"/>
          <w:szCs w:val="24"/>
        </w:rPr>
      </w:pPr>
      <w:r w:rsidRPr="002D5FB7">
        <w:rPr>
          <w:rFonts w:cs="Calibri"/>
          <w:sz w:val="24"/>
          <w:szCs w:val="24"/>
        </w:rPr>
        <w:t>Pelo que r</w:t>
      </w:r>
      <w:r w:rsidR="00673F32" w:rsidRPr="002D5FB7">
        <w:rPr>
          <w:rFonts w:cs="Calibri"/>
          <w:sz w:val="24"/>
          <w:szCs w:val="24"/>
        </w:rPr>
        <w:t xml:space="preserve">equer seja negado </w:t>
      </w:r>
      <w:r w:rsidRPr="002D5FB7">
        <w:rPr>
          <w:rFonts w:cs="Calibri"/>
          <w:sz w:val="24"/>
          <w:szCs w:val="24"/>
        </w:rPr>
        <w:t xml:space="preserve">provimento ao recurso interposto, haja vista </w:t>
      </w:r>
      <w:r w:rsidR="002D5FB7" w:rsidRPr="002D5FB7">
        <w:rPr>
          <w:rFonts w:cs="Calibri"/>
          <w:sz w:val="24"/>
          <w:szCs w:val="24"/>
        </w:rPr>
        <w:t>o impertinente e ilegal pedido</w:t>
      </w:r>
      <w:r w:rsidRPr="002D5FB7">
        <w:rPr>
          <w:rFonts w:cs="Calibri"/>
          <w:sz w:val="24"/>
          <w:szCs w:val="24"/>
        </w:rPr>
        <w:t xml:space="preserve"> a título de danos morais</w:t>
      </w:r>
      <w:r w:rsidR="00673F32" w:rsidRPr="002D5FB7">
        <w:rPr>
          <w:rFonts w:cs="Calibri"/>
          <w:sz w:val="24"/>
          <w:szCs w:val="24"/>
        </w:rPr>
        <w:t>.</w:t>
      </w:r>
    </w:p>
    <w:p w14:paraId="26FF2D3A" w14:textId="60614855" w:rsidR="004C7639" w:rsidRPr="002D5FB7" w:rsidRDefault="004C7639" w:rsidP="00396D72">
      <w:pPr>
        <w:spacing w:before="200" w:after="200" w:line="240" w:lineRule="auto"/>
        <w:ind w:right="426" w:firstLine="708"/>
        <w:jc w:val="both"/>
        <w:rPr>
          <w:rFonts w:cs="Calibri"/>
          <w:sz w:val="24"/>
          <w:szCs w:val="24"/>
        </w:rPr>
      </w:pPr>
    </w:p>
    <w:p w14:paraId="0F20BDBF" w14:textId="77777777" w:rsidR="004C7639" w:rsidRPr="002D5FB7" w:rsidRDefault="004C7639" w:rsidP="00396D72">
      <w:pPr>
        <w:spacing w:before="200" w:after="200" w:line="240" w:lineRule="auto"/>
        <w:ind w:right="426" w:firstLine="708"/>
        <w:jc w:val="both"/>
        <w:rPr>
          <w:rFonts w:cs="Calibri"/>
          <w:sz w:val="24"/>
          <w:szCs w:val="24"/>
        </w:rPr>
      </w:pPr>
    </w:p>
    <w:p w14:paraId="2967B07C" w14:textId="2D4F23BB" w:rsidR="005941C5" w:rsidRPr="002D5FB7" w:rsidRDefault="005941C5" w:rsidP="00396D72">
      <w:pPr>
        <w:spacing w:before="200" w:after="200" w:line="240" w:lineRule="auto"/>
        <w:ind w:right="426"/>
        <w:jc w:val="center"/>
        <w:rPr>
          <w:rFonts w:cs="Calibri"/>
          <w:sz w:val="24"/>
          <w:szCs w:val="24"/>
        </w:rPr>
      </w:pPr>
      <w:r w:rsidRPr="002D5FB7">
        <w:rPr>
          <w:rFonts w:cs="Calibri"/>
          <w:sz w:val="24"/>
          <w:szCs w:val="24"/>
        </w:rPr>
        <w:t>Nestes Termos,</w:t>
      </w:r>
      <w:r w:rsidRPr="002D5FB7">
        <w:rPr>
          <w:rFonts w:cs="Calibri"/>
          <w:sz w:val="24"/>
          <w:szCs w:val="24"/>
        </w:rPr>
        <w:br/>
        <w:t> Pede Deferimento,</w:t>
      </w:r>
    </w:p>
    <w:p w14:paraId="4BA3427B" w14:textId="5447A5F7" w:rsidR="008B00C4" w:rsidRPr="002D5FB7" w:rsidRDefault="005941C5" w:rsidP="00396D72">
      <w:pPr>
        <w:spacing w:before="200" w:after="200" w:line="240" w:lineRule="auto"/>
        <w:ind w:right="426"/>
        <w:jc w:val="center"/>
        <w:rPr>
          <w:rFonts w:cs="Calibri"/>
          <w:sz w:val="24"/>
          <w:szCs w:val="24"/>
        </w:rPr>
      </w:pPr>
      <w:r w:rsidRPr="002D5FB7">
        <w:rPr>
          <w:rFonts w:cs="Calibri"/>
          <w:sz w:val="24"/>
          <w:szCs w:val="24"/>
        </w:rPr>
        <w:br/>
      </w:r>
      <w:r w:rsidR="00886EC8">
        <w:rPr>
          <w:rFonts w:cs="Calibri"/>
          <w:sz w:val="24"/>
          <w:szCs w:val="24"/>
        </w:rPr>
        <w:t>URUGUAIANA</w:t>
      </w:r>
      <w:r w:rsidRPr="002D5FB7">
        <w:rPr>
          <w:rFonts w:cs="Calibri"/>
          <w:sz w:val="24"/>
          <w:szCs w:val="24"/>
        </w:rPr>
        <w:t xml:space="preserve">, </w:t>
      </w:r>
      <w:r w:rsidR="00B83EBB">
        <w:rPr>
          <w:rFonts w:cs="Calibri"/>
          <w:sz w:val="24"/>
          <w:szCs w:val="24"/>
        </w:rPr>
        <w:t>2</w:t>
      </w:r>
      <w:r w:rsidR="00886EC8">
        <w:rPr>
          <w:rFonts w:cs="Calibri"/>
          <w:sz w:val="24"/>
          <w:szCs w:val="24"/>
        </w:rPr>
        <w:t>9</w:t>
      </w:r>
      <w:r w:rsidR="004C7639" w:rsidRPr="002D5FB7">
        <w:rPr>
          <w:rFonts w:cs="Calibri"/>
          <w:sz w:val="24"/>
          <w:szCs w:val="24"/>
        </w:rPr>
        <w:t xml:space="preserve"> </w:t>
      </w:r>
      <w:r w:rsidRPr="002D5FB7">
        <w:rPr>
          <w:rFonts w:cs="Calibri"/>
          <w:sz w:val="24"/>
          <w:szCs w:val="24"/>
        </w:rPr>
        <w:t xml:space="preserve">de </w:t>
      </w:r>
      <w:proofErr w:type="gramStart"/>
      <w:r w:rsidR="00B83EBB">
        <w:rPr>
          <w:rFonts w:cs="Calibri"/>
          <w:sz w:val="24"/>
          <w:szCs w:val="24"/>
        </w:rPr>
        <w:t>Setembro</w:t>
      </w:r>
      <w:proofErr w:type="gramEnd"/>
      <w:r w:rsidRPr="002D5FB7">
        <w:rPr>
          <w:rFonts w:cs="Calibri"/>
          <w:sz w:val="24"/>
          <w:szCs w:val="24"/>
        </w:rPr>
        <w:t xml:space="preserve"> de 2023.</w:t>
      </w:r>
    </w:p>
    <w:p w14:paraId="342050CA" w14:textId="5A94E7FB" w:rsidR="00862622" w:rsidRPr="002D5FB7" w:rsidRDefault="00862622" w:rsidP="00862622">
      <w:pPr>
        <w:pStyle w:val="Corpodetexto"/>
        <w:jc w:val="center"/>
        <w:rPr>
          <w:rFonts w:ascii="Calibri" w:eastAsiaTheme="minorEastAsia" w:hAnsi="Calibri" w:cs="Calibri"/>
          <w:lang w:val="en-US" w:eastAsia="ja-JP" w:bidi="ar-SA"/>
        </w:rPr>
      </w:pPr>
      <w:r w:rsidRPr="002D5FB7">
        <w:rPr>
          <w:rFonts w:ascii="Calibri" w:eastAsiaTheme="minorEastAsia" w:hAnsi="Calibri" w:cs="Calibri"/>
          <w:lang w:val="en-US" w:eastAsia="ja-JP" w:bidi="ar-SA"/>
        </w:rPr>
        <w:br/>
        <w:t>JOÃO BARBOSA</w:t>
      </w:r>
      <w:r w:rsidRPr="002D5FB7">
        <w:rPr>
          <w:rFonts w:ascii="Calibri" w:eastAsiaTheme="minorEastAsia" w:hAnsi="Calibri" w:cs="Calibri"/>
          <w:lang w:val="en-US" w:eastAsia="ja-JP" w:bidi="ar-SA"/>
        </w:rPr>
        <w:br/>
        <w:t>OAB/RS 90657-A</w:t>
      </w:r>
    </w:p>
    <w:p w14:paraId="3D8239AA" w14:textId="56C8142C" w:rsidR="004C7639" w:rsidRPr="002D5FB7" w:rsidRDefault="004C7639" w:rsidP="00862622">
      <w:pPr>
        <w:spacing w:before="200" w:after="200" w:line="240" w:lineRule="auto"/>
        <w:ind w:right="426"/>
        <w:jc w:val="center"/>
        <w:rPr>
          <w:rFonts w:cs="Calibri"/>
          <w:sz w:val="24"/>
          <w:szCs w:val="24"/>
        </w:rPr>
      </w:pPr>
    </w:p>
    <w:p w14:paraId="1EAA27C6" w14:textId="00C49A72" w:rsidR="004C7639" w:rsidRPr="002D5FB7" w:rsidRDefault="004C7639" w:rsidP="00396D72">
      <w:pPr>
        <w:spacing w:before="200" w:after="200" w:line="240" w:lineRule="auto"/>
        <w:ind w:right="426"/>
        <w:jc w:val="center"/>
        <w:rPr>
          <w:rFonts w:cs="Calibri"/>
          <w:sz w:val="24"/>
          <w:szCs w:val="24"/>
        </w:rPr>
      </w:pPr>
    </w:p>
    <w:p w14:paraId="1165ADC8" w14:textId="04C88523" w:rsidR="004C7639" w:rsidRPr="002D5FB7" w:rsidRDefault="004C7639" w:rsidP="00396D72">
      <w:pPr>
        <w:spacing w:before="200" w:after="200" w:line="240" w:lineRule="auto"/>
        <w:ind w:right="426"/>
        <w:jc w:val="center"/>
        <w:rPr>
          <w:rFonts w:cs="Calibri"/>
          <w:sz w:val="24"/>
          <w:szCs w:val="24"/>
        </w:rPr>
      </w:pPr>
    </w:p>
    <w:p w14:paraId="7F0F1A67" w14:textId="0174D4E3" w:rsidR="004C7639" w:rsidRPr="002D5FB7" w:rsidRDefault="004C7639" w:rsidP="00396D72">
      <w:pPr>
        <w:spacing w:before="200" w:after="200" w:line="240" w:lineRule="auto"/>
        <w:ind w:right="426"/>
        <w:jc w:val="center"/>
        <w:rPr>
          <w:rFonts w:cs="Calibri"/>
          <w:sz w:val="24"/>
          <w:szCs w:val="24"/>
        </w:rPr>
      </w:pPr>
    </w:p>
    <w:p w14:paraId="11A381AC" w14:textId="56B07B39" w:rsidR="004C7639" w:rsidRPr="002D5FB7" w:rsidRDefault="004C7639" w:rsidP="00862622">
      <w:pPr>
        <w:pStyle w:val="Ttulo2"/>
        <w:ind w:right="426"/>
        <w:jc w:val="left"/>
        <w:rPr>
          <w:rFonts w:ascii="Calibri" w:hAnsi="Calibri" w:cs="Calibri"/>
        </w:rPr>
      </w:pPr>
      <w:r w:rsidRPr="002D5FB7">
        <w:rPr>
          <w:rFonts w:ascii="Calibri" w:hAnsi="Calibri" w:cs="Calibri"/>
        </w:rPr>
        <w:lastRenderedPageBreak/>
        <w:t xml:space="preserve">EGRÉGIA TURMA </w:t>
      </w:r>
      <w:r w:rsidR="0004661C" w:rsidRPr="002D5FB7">
        <w:rPr>
          <w:rFonts w:ascii="Calibri" w:hAnsi="Calibri" w:cs="Calibri"/>
        </w:rPr>
        <w:t>RECURSAL DA SEÇÃO JUDICIÁRIA DO RIO GRANDE DO SUL</w:t>
      </w:r>
      <w:r w:rsidRPr="002D5FB7">
        <w:rPr>
          <w:rFonts w:ascii="Calibri" w:hAnsi="Calibri" w:cs="Calibri"/>
        </w:rPr>
        <w:t>,</w:t>
      </w:r>
    </w:p>
    <w:p w14:paraId="6B17A095" w14:textId="0233C675" w:rsidR="004C7639" w:rsidRPr="002D5FB7" w:rsidRDefault="004C7639" w:rsidP="00396D72">
      <w:pPr>
        <w:pStyle w:val="Corpodetexto"/>
        <w:ind w:right="426" w:firstLine="1417"/>
        <w:rPr>
          <w:rFonts w:ascii="Calibri" w:hAnsi="Calibri" w:cs="Calibri"/>
        </w:rPr>
      </w:pPr>
    </w:p>
    <w:p w14:paraId="32BCA84A" w14:textId="642C18BA" w:rsidR="0004661C" w:rsidRPr="002D5FB7" w:rsidRDefault="0004661C" w:rsidP="00396D72">
      <w:pPr>
        <w:pStyle w:val="PargrafodaLista"/>
        <w:tabs>
          <w:tab w:val="left" w:pos="709"/>
        </w:tabs>
        <w:spacing w:line="320" w:lineRule="exact"/>
        <w:ind w:left="0" w:right="426"/>
        <w:jc w:val="center"/>
        <w:rPr>
          <w:rFonts w:ascii="Calibri" w:hAnsi="Calibri" w:cs="Calibri"/>
          <w:b/>
          <w:bCs/>
          <w:smallCaps/>
        </w:rPr>
      </w:pPr>
      <w:proofErr w:type="spellStart"/>
      <w:r w:rsidRPr="002D5FB7">
        <w:rPr>
          <w:rFonts w:ascii="Calibri" w:hAnsi="Calibri" w:cs="Calibri"/>
          <w:b/>
          <w:bCs/>
          <w:smallCaps/>
        </w:rPr>
        <w:t>Contrarrazões</w:t>
      </w:r>
      <w:proofErr w:type="spellEnd"/>
      <w:r w:rsidRPr="002D5FB7">
        <w:rPr>
          <w:rFonts w:ascii="Calibri" w:hAnsi="Calibri" w:cs="Calibri"/>
          <w:b/>
          <w:bCs/>
          <w:smallCaps/>
        </w:rPr>
        <w:t xml:space="preserve"> da </w:t>
      </w:r>
      <w:proofErr w:type="spellStart"/>
      <w:r w:rsidRPr="002D5FB7">
        <w:rPr>
          <w:rFonts w:ascii="Calibri" w:hAnsi="Calibri" w:cs="Calibri"/>
          <w:b/>
          <w:bCs/>
          <w:smallCaps/>
        </w:rPr>
        <w:t>Recorrida</w:t>
      </w:r>
      <w:proofErr w:type="spellEnd"/>
    </w:p>
    <w:p w14:paraId="0A90EACA" w14:textId="427AC0D0" w:rsidR="0004661C" w:rsidRPr="002D5FB7" w:rsidRDefault="0004661C" w:rsidP="00396D72">
      <w:pPr>
        <w:pStyle w:val="PargrafodaLista"/>
        <w:tabs>
          <w:tab w:val="left" w:pos="709"/>
        </w:tabs>
        <w:spacing w:line="320" w:lineRule="exact"/>
        <w:ind w:left="0" w:right="426"/>
        <w:jc w:val="center"/>
        <w:rPr>
          <w:rFonts w:ascii="Calibri" w:hAnsi="Calibri" w:cs="Calibri"/>
          <w:b/>
          <w:bCs/>
          <w:smallCaps/>
        </w:rPr>
      </w:pPr>
      <w:r w:rsidRPr="002D5FB7">
        <w:rPr>
          <w:rFonts w:ascii="Calibri" w:hAnsi="Calibri" w:cs="Calibri"/>
          <w:b/>
          <w:bCs/>
          <w:smallCaps/>
          <w:u w:val="single"/>
        </w:rPr>
        <w:t xml:space="preserve">Caixa </w:t>
      </w:r>
      <w:proofErr w:type="spellStart"/>
      <w:r w:rsidRPr="002D5FB7">
        <w:rPr>
          <w:rFonts w:ascii="Calibri" w:hAnsi="Calibri" w:cs="Calibri"/>
          <w:b/>
          <w:bCs/>
          <w:smallCaps/>
          <w:u w:val="single"/>
        </w:rPr>
        <w:t>Econômica</w:t>
      </w:r>
      <w:proofErr w:type="spellEnd"/>
      <w:r w:rsidRPr="002D5FB7">
        <w:rPr>
          <w:rFonts w:ascii="Calibri" w:hAnsi="Calibri" w:cs="Calibri"/>
          <w:b/>
          <w:bCs/>
          <w:smallCaps/>
          <w:u w:val="single"/>
        </w:rPr>
        <w:t xml:space="preserve"> Federal</w:t>
      </w:r>
    </w:p>
    <w:p w14:paraId="04785251" w14:textId="77777777" w:rsidR="004C7639" w:rsidRPr="002D5FB7" w:rsidRDefault="004C7639" w:rsidP="00396D72">
      <w:pPr>
        <w:pStyle w:val="Ttulo2"/>
        <w:ind w:right="426"/>
        <w:jc w:val="left"/>
        <w:rPr>
          <w:rFonts w:ascii="Calibri" w:hAnsi="Calibri" w:cs="Calibri"/>
        </w:rPr>
      </w:pPr>
      <w:r w:rsidRPr="002D5FB7">
        <w:rPr>
          <w:rFonts w:ascii="Calibri" w:hAnsi="Calibri" w:cs="Calibri"/>
        </w:rPr>
        <w:t>DA SÍNTESE DA DEMANDA</w:t>
      </w:r>
    </w:p>
    <w:p w14:paraId="100C0D6E" w14:textId="73A5E873" w:rsidR="0004661C" w:rsidRPr="002D5FB7" w:rsidRDefault="003E11A0" w:rsidP="00396D72">
      <w:pPr>
        <w:pStyle w:val="PargrafodaLista"/>
        <w:tabs>
          <w:tab w:val="left" w:pos="709"/>
        </w:tabs>
        <w:spacing w:line="320" w:lineRule="exact"/>
        <w:ind w:left="0" w:right="426"/>
        <w:jc w:val="both"/>
        <w:rPr>
          <w:rFonts w:ascii="Calibri" w:hAnsi="Calibri" w:cs="Calibri"/>
        </w:rPr>
      </w:pPr>
      <w:r w:rsidRPr="002D5FB7">
        <w:rPr>
          <w:rFonts w:ascii="Calibri" w:hAnsi="Calibri" w:cs="Calibri"/>
          <w:bCs/>
          <w:lang w:val="pt-BR"/>
        </w:rPr>
        <w:tab/>
      </w:r>
      <w:r w:rsidR="0004661C" w:rsidRPr="002D5FB7">
        <w:rPr>
          <w:rFonts w:ascii="Calibri" w:hAnsi="Calibri" w:cs="Calibri"/>
          <w:bCs/>
          <w:lang w:val="pt-BR"/>
        </w:rPr>
        <w:t>Resumidamente, trata-se de ação de indenização por danos materiais e morais, onde o autor, ora recorrente, alega haver vícios no imóvel adquirido através do programa Minha Casa Minha Vida.</w:t>
      </w:r>
    </w:p>
    <w:p w14:paraId="396BE0DF" w14:textId="77777777" w:rsidR="0004661C" w:rsidRPr="002D5FB7" w:rsidRDefault="0004661C" w:rsidP="00396D72">
      <w:pPr>
        <w:pStyle w:val="PargrafodaLista"/>
        <w:tabs>
          <w:tab w:val="left" w:pos="709"/>
        </w:tabs>
        <w:spacing w:line="320" w:lineRule="exact"/>
        <w:ind w:left="0" w:right="426"/>
        <w:jc w:val="both"/>
        <w:rPr>
          <w:rFonts w:ascii="Calibri" w:hAnsi="Calibri" w:cs="Calibri"/>
        </w:rPr>
      </w:pPr>
    </w:p>
    <w:p w14:paraId="7A9E8F6B" w14:textId="79BA1ADF" w:rsidR="0004661C" w:rsidRPr="002D5FB7" w:rsidRDefault="003E11A0" w:rsidP="00396D72">
      <w:pPr>
        <w:pStyle w:val="PargrafodaLista"/>
        <w:tabs>
          <w:tab w:val="left" w:pos="709"/>
        </w:tabs>
        <w:spacing w:line="320" w:lineRule="exact"/>
        <w:ind w:left="0" w:right="426"/>
        <w:jc w:val="both"/>
        <w:rPr>
          <w:rFonts w:ascii="Calibri" w:hAnsi="Calibri" w:cs="Calibri"/>
        </w:rPr>
      </w:pPr>
      <w:r w:rsidRPr="002D5FB7">
        <w:rPr>
          <w:rFonts w:ascii="Calibri" w:hAnsi="Calibri" w:cs="Calibri"/>
          <w:bCs/>
          <w:lang w:val="pt-BR"/>
        </w:rPr>
        <w:tab/>
      </w:r>
      <w:r w:rsidR="0004661C" w:rsidRPr="002D5FB7">
        <w:rPr>
          <w:rFonts w:ascii="Calibri" w:hAnsi="Calibri" w:cs="Calibri"/>
          <w:bCs/>
          <w:lang w:val="pt-BR"/>
        </w:rPr>
        <w:t xml:space="preserve">Ao término da prestação jurisdicional, entendeu o Douto Magistrado </w:t>
      </w:r>
      <w:r w:rsidR="0004661C" w:rsidRPr="002D5FB7">
        <w:rPr>
          <w:rFonts w:ascii="Calibri" w:hAnsi="Calibri" w:cs="Calibri"/>
          <w:bCs/>
          <w:i/>
          <w:iCs/>
          <w:lang w:val="pt-BR"/>
        </w:rPr>
        <w:t>a quo</w:t>
      </w:r>
      <w:r w:rsidR="0004661C" w:rsidRPr="002D5FB7">
        <w:rPr>
          <w:rFonts w:ascii="Calibri" w:hAnsi="Calibri" w:cs="Calibri"/>
          <w:bCs/>
          <w:lang w:val="pt-BR"/>
        </w:rPr>
        <w:t xml:space="preserve"> pela parcial procedência dos pedidos formulados na exordial:</w:t>
      </w:r>
    </w:p>
    <w:p w14:paraId="2FF0F5DB" w14:textId="77777777" w:rsidR="0004661C" w:rsidRPr="002D5FB7" w:rsidRDefault="0004661C" w:rsidP="00396D72">
      <w:pPr>
        <w:pStyle w:val="PargrafodaLista"/>
        <w:ind w:right="426"/>
        <w:rPr>
          <w:rFonts w:ascii="Calibri" w:hAnsi="Calibri" w:cs="Calibri"/>
          <w:bCs/>
          <w:lang w:val="pt-BR"/>
        </w:rPr>
      </w:pPr>
    </w:p>
    <w:p w14:paraId="53A72F9C" w14:textId="77777777" w:rsidR="00886EC8" w:rsidRDefault="00B83EBB" w:rsidP="00886EC8">
      <w:pPr>
        <w:ind w:left="2268" w:right="426"/>
        <w:jc w:val="both"/>
        <w:rPr>
          <w:rFonts w:cs="Calibri"/>
          <w:b/>
          <w:i/>
          <w:iCs/>
          <w:sz w:val="24"/>
          <w:szCs w:val="24"/>
        </w:rPr>
      </w:pPr>
      <w:r>
        <w:rPr>
          <w:rFonts w:cs="Calibri"/>
          <w:b/>
          <w:i/>
          <w:iCs/>
          <w:sz w:val="24"/>
          <w:szCs w:val="24"/>
        </w:rPr>
        <w:t>“</w:t>
      </w:r>
      <w:r w:rsidR="00886EC8" w:rsidRPr="00886EC8">
        <w:rPr>
          <w:rFonts w:cs="Calibri"/>
          <w:b/>
          <w:i/>
          <w:iCs/>
          <w:sz w:val="24"/>
          <w:szCs w:val="24"/>
        </w:rPr>
        <w:t xml:space="preserve">No caso concreto, não há evidência da consolidação da propriedade em favor do patrimônio da Caixa, não constando na matrícula do imóvel qualquer registro nesse sentido (evento 39, ANEXO2). Ali consta, como último ato, o registro da alienação fiduciária do bem em garantia ao negócio celebrado entre a mutuária, Sra. Michele Moura Bueno, e o agente financeiro. </w:t>
      </w:r>
    </w:p>
    <w:p w14:paraId="06B0F72F"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Caso a propriedade do apartamento houvesse sido consolidada no patrimônio da CAIXA, constaria no documento a anotação correspondente, haja vista a disciplina do artigo 26, § 7º, da Lei n.º 9.514/1997: </w:t>
      </w:r>
    </w:p>
    <w:p w14:paraId="128F2836" w14:textId="77777777" w:rsidR="00886EC8" w:rsidRDefault="00886EC8" w:rsidP="00886EC8">
      <w:pPr>
        <w:ind w:left="2268" w:right="426"/>
        <w:jc w:val="both"/>
        <w:rPr>
          <w:rFonts w:cs="Calibri"/>
          <w:b/>
          <w:i/>
          <w:iCs/>
          <w:sz w:val="24"/>
          <w:szCs w:val="24"/>
        </w:rPr>
      </w:pPr>
    </w:p>
    <w:p w14:paraId="26888509" w14:textId="77777777" w:rsidR="00886EC8" w:rsidRDefault="00886EC8" w:rsidP="00886EC8">
      <w:pPr>
        <w:ind w:left="3402" w:right="426"/>
        <w:jc w:val="both"/>
        <w:rPr>
          <w:rFonts w:cs="Calibri"/>
          <w:b/>
          <w:i/>
          <w:iCs/>
          <w:sz w:val="24"/>
          <w:szCs w:val="24"/>
        </w:rPr>
      </w:pPr>
      <w:r w:rsidRPr="00886EC8">
        <w:rPr>
          <w:rFonts w:cs="Calibri"/>
          <w:b/>
          <w:i/>
          <w:iCs/>
          <w:sz w:val="24"/>
          <w:szCs w:val="24"/>
        </w:rPr>
        <w:t xml:space="preserve">Art. 26. Vencida e não paga, no todo ou em parte, a dívida e constituído em mora o fiduciante, consolidar-se-á, nos termos deste artigo, a propriedade do imóvel em nome do fiduciário. </w:t>
      </w:r>
    </w:p>
    <w:p w14:paraId="4C3F109E" w14:textId="77777777" w:rsidR="00886EC8" w:rsidRDefault="00886EC8" w:rsidP="00886EC8">
      <w:pPr>
        <w:ind w:left="3402" w:right="426"/>
        <w:jc w:val="both"/>
        <w:rPr>
          <w:rFonts w:cs="Calibri"/>
          <w:b/>
          <w:i/>
          <w:iCs/>
          <w:sz w:val="24"/>
          <w:szCs w:val="24"/>
        </w:rPr>
      </w:pPr>
      <w:r w:rsidRPr="00886EC8">
        <w:rPr>
          <w:rFonts w:cs="Calibri"/>
          <w:b/>
          <w:i/>
          <w:iCs/>
          <w:sz w:val="24"/>
          <w:szCs w:val="24"/>
        </w:rPr>
        <w:t xml:space="preserve">[...] </w:t>
      </w:r>
    </w:p>
    <w:p w14:paraId="40902722" w14:textId="77777777" w:rsidR="00886EC8" w:rsidRDefault="00886EC8" w:rsidP="00886EC8">
      <w:pPr>
        <w:ind w:left="3402" w:right="426"/>
        <w:jc w:val="both"/>
        <w:rPr>
          <w:rFonts w:cs="Calibri"/>
          <w:b/>
          <w:i/>
          <w:iCs/>
          <w:sz w:val="24"/>
          <w:szCs w:val="24"/>
        </w:rPr>
      </w:pPr>
      <w:r w:rsidRPr="00886EC8">
        <w:rPr>
          <w:rFonts w:cs="Calibri"/>
          <w:b/>
          <w:i/>
          <w:iCs/>
          <w:sz w:val="24"/>
          <w:szCs w:val="24"/>
        </w:rPr>
        <w:t xml:space="preserve">§ 7 o Decorrido o prazo de que trata o § 1 o sem a purgação da mora, o oficial do competente Registro de Imóveis, certificando esse fato, promoverá a averbação, na matrícula do imóvel, da consolidação da propriedade em nome do fiduciário, à vista da prova do pagamento por este, do imposto de transmissão </w:t>
      </w:r>
      <w:proofErr w:type="spellStart"/>
      <w:proofErr w:type="gramStart"/>
      <w:r w:rsidRPr="00886EC8">
        <w:rPr>
          <w:rFonts w:cs="Calibri"/>
          <w:b/>
          <w:i/>
          <w:iCs/>
          <w:sz w:val="24"/>
          <w:szCs w:val="24"/>
        </w:rPr>
        <w:t>inter</w:t>
      </w:r>
      <w:proofErr w:type="spellEnd"/>
      <w:r w:rsidRPr="00886EC8">
        <w:rPr>
          <w:rFonts w:cs="Calibri"/>
          <w:b/>
          <w:i/>
          <w:iCs/>
          <w:sz w:val="24"/>
          <w:szCs w:val="24"/>
        </w:rPr>
        <w:t xml:space="preserve"> vivos</w:t>
      </w:r>
      <w:proofErr w:type="gramEnd"/>
      <w:r w:rsidRPr="00886EC8">
        <w:rPr>
          <w:rFonts w:cs="Calibri"/>
          <w:b/>
          <w:i/>
          <w:iCs/>
          <w:sz w:val="24"/>
          <w:szCs w:val="24"/>
        </w:rPr>
        <w:t xml:space="preserve"> e, se for o caso, do laudêmio. </w:t>
      </w:r>
    </w:p>
    <w:p w14:paraId="511A1700" w14:textId="77777777" w:rsidR="00886EC8" w:rsidRDefault="00886EC8" w:rsidP="00886EC8">
      <w:pPr>
        <w:ind w:left="2268" w:right="426"/>
        <w:jc w:val="both"/>
        <w:rPr>
          <w:rFonts w:cs="Calibri"/>
          <w:b/>
          <w:i/>
          <w:iCs/>
          <w:sz w:val="24"/>
          <w:szCs w:val="24"/>
        </w:rPr>
      </w:pPr>
    </w:p>
    <w:p w14:paraId="4508BF9B"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Como isso não ocorreu, a instituição financeira ré não pode ser responsabilizada pela dívida em questão. </w:t>
      </w:r>
    </w:p>
    <w:p w14:paraId="7B742512" w14:textId="77777777" w:rsidR="00886EC8" w:rsidRDefault="00886EC8" w:rsidP="00886EC8">
      <w:pPr>
        <w:ind w:left="2268" w:right="426"/>
        <w:jc w:val="both"/>
        <w:rPr>
          <w:rFonts w:cs="Calibri"/>
          <w:b/>
          <w:i/>
          <w:iCs/>
          <w:sz w:val="24"/>
          <w:szCs w:val="24"/>
        </w:rPr>
      </w:pPr>
    </w:p>
    <w:p w14:paraId="09BD24F3" w14:textId="77777777" w:rsidR="00886EC8" w:rsidRDefault="00886EC8" w:rsidP="00886EC8">
      <w:pPr>
        <w:ind w:left="2268" w:right="426"/>
        <w:jc w:val="both"/>
        <w:rPr>
          <w:rFonts w:cs="Calibri"/>
          <w:b/>
          <w:i/>
          <w:iCs/>
          <w:sz w:val="24"/>
          <w:szCs w:val="24"/>
        </w:rPr>
      </w:pPr>
    </w:p>
    <w:p w14:paraId="6DA0910C" w14:textId="77777777" w:rsidR="00886EC8" w:rsidRDefault="00886EC8" w:rsidP="00886EC8">
      <w:pPr>
        <w:ind w:left="2268" w:right="426"/>
        <w:jc w:val="both"/>
        <w:rPr>
          <w:rFonts w:cs="Calibri"/>
          <w:b/>
          <w:i/>
          <w:iCs/>
          <w:sz w:val="24"/>
          <w:szCs w:val="24"/>
        </w:rPr>
      </w:pPr>
      <w:r w:rsidRPr="00886EC8">
        <w:rPr>
          <w:rFonts w:cs="Calibri"/>
          <w:b/>
          <w:i/>
          <w:iCs/>
          <w:sz w:val="24"/>
          <w:szCs w:val="24"/>
        </w:rPr>
        <w:lastRenderedPageBreak/>
        <w:t xml:space="preserve">Destaco que não houve a demonstração, pelo condomínio, de alguma outra circunstância peculiar à unidade residencial que obrigasse a CEF a executar a garantia e a reaver a posse do imóvel, fazendo-a responder pelo débito condominial. Trata-se de matéria que integra a causa petendi e não pode ser investigada de ofício pelo magistrado. Assim, considerando o que alegado e provado nos autos, deve ser acolhida a defesa da CEF. </w:t>
      </w:r>
    </w:p>
    <w:p w14:paraId="6CAD54B8" w14:textId="77777777" w:rsidR="00886EC8" w:rsidRDefault="00886EC8" w:rsidP="00886EC8">
      <w:pPr>
        <w:ind w:left="2268" w:right="426"/>
        <w:jc w:val="both"/>
        <w:rPr>
          <w:rFonts w:cs="Calibri"/>
          <w:b/>
          <w:i/>
          <w:iCs/>
          <w:sz w:val="24"/>
          <w:szCs w:val="24"/>
        </w:rPr>
      </w:pPr>
    </w:p>
    <w:p w14:paraId="7212C336"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3. DISPOSITIVO </w:t>
      </w:r>
    </w:p>
    <w:p w14:paraId="76B610DD"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Ante o exposto, acolho os presentes embargos para reconhecer a inexistência de responsabilidade da CEF (FAR) para responder pelos débitos objeto da execução de título extrajudicial n.º 5001333-31.2022.4.04.7129. </w:t>
      </w:r>
    </w:p>
    <w:p w14:paraId="20BBFF25" w14:textId="54D7D292" w:rsidR="0004661C" w:rsidRPr="00D4797D" w:rsidRDefault="00886EC8" w:rsidP="00886EC8">
      <w:pPr>
        <w:ind w:left="2268" w:right="426"/>
        <w:jc w:val="both"/>
        <w:rPr>
          <w:rFonts w:cs="Calibri"/>
          <w:b/>
          <w:i/>
          <w:iCs/>
          <w:sz w:val="24"/>
          <w:szCs w:val="24"/>
        </w:rPr>
      </w:pPr>
      <w:r w:rsidRPr="00886EC8">
        <w:rPr>
          <w:rFonts w:cs="Calibri"/>
          <w:b/>
          <w:i/>
          <w:iCs/>
          <w:sz w:val="24"/>
          <w:szCs w:val="24"/>
        </w:rPr>
        <w:t>Sem arbitramento de custas, nos termos do artigo 7º da Lei n.º 9.289/1996.</w:t>
      </w:r>
      <w:r w:rsidR="0004661C" w:rsidRPr="00D4797D">
        <w:rPr>
          <w:rFonts w:cs="Calibri"/>
          <w:b/>
          <w:i/>
          <w:iCs/>
          <w:sz w:val="24"/>
          <w:szCs w:val="24"/>
        </w:rPr>
        <w:t xml:space="preserve">” </w:t>
      </w:r>
    </w:p>
    <w:p w14:paraId="6737EB95" w14:textId="77777777" w:rsidR="0004661C" w:rsidRPr="002D5FB7" w:rsidRDefault="0004661C" w:rsidP="00396D72">
      <w:pPr>
        <w:pStyle w:val="PargrafodaLista"/>
        <w:ind w:right="426"/>
        <w:jc w:val="both"/>
        <w:rPr>
          <w:rFonts w:ascii="Calibri" w:hAnsi="Calibri" w:cs="Calibri"/>
        </w:rPr>
      </w:pPr>
    </w:p>
    <w:p w14:paraId="5E3EF71C" w14:textId="41B1E8B8" w:rsidR="0020614F" w:rsidRDefault="0020614F" w:rsidP="0020614F">
      <w:pPr>
        <w:pStyle w:val="PargrafodaLista"/>
        <w:tabs>
          <w:tab w:val="left" w:pos="709"/>
        </w:tabs>
        <w:spacing w:line="320" w:lineRule="exact"/>
        <w:ind w:left="0"/>
        <w:jc w:val="both"/>
        <w:rPr>
          <w:rFonts w:ascii="Calibri" w:hAnsi="Calibri" w:cs="Calibri"/>
        </w:rPr>
      </w:pPr>
      <w:r>
        <w:rPr>
          <w:rFonts w:ascii="Calibri" w:hAnsi="Calibri" w:cs="Calibri"/>
        </w:rPr>
        <w:tab/>
      </w:r>
    </w:p>
    <w:p w14:paraId="56F7BD3C" w14:textId="5ACE2C13" w:rsidR="001833C2" w:rsidRDefault="0020614F" w:rsidP="0020614F">
      <w:pPr>
        <w:pStyle w:val="PargrafodaLista"/>
        <w:tabs>
          <w:tab w:val="left" w:pos="709"/>
        </w:tabs>
        <w:spacing w:line="320" w:lineRule="exact"/>
        <w:ind w:left="0"/>
        <w:jc w:val="both"/>
        <w:rPr>
          <w:rFonts w:ascii="Calibri" w:hAnsi="Calibri" w:cs="Calibri"/>
          <w:lang w:val="pt-BR"/>
        </w:rPr>
      </w:pPr>
      <w:r>
        <w:rPr>
          <w:rFonts w:ascii="Calibri" w:hAnsi="Calibri" w:cs="Calibri"/>
        </w:rPr>
        <w:tab/>
      </w:r>
      <w:r w:rsidR="00181DE2" w:rsidRPr="0020614F">
        <w:rPr>
          <w:rFonts w:ascii="Calibri" w:hAnsi="Calibri" w:cs="Calibri"/>
          <w:lang w:val="pt-BR"/>
        </w:rPr>
        <w:t xml:space="preserve">Inconformada, a parte Autora, ora </w:t>
      </w:r>
      <w:r w:rsidR="00886EC8">
        <w:rPr>
          <w:rFonts w:ascii="Calibri" w:hAnsi="Calibri" w:cs="Calibri"/>
          <w:lang w:val="pt-BR"/>
        </w:rPr>
        <w:t>Recorrente</w:t>
      </w:r>
      <w:r w:rsidR="00181DE2" w:rsidRPr="0020614F">
        <w:rPr>
          <w:rFonts w:ascii="Calibri" w:hAnsi="Calibri" w:cs="Calibri"/>
          <w:lang w:val="pt-BR"/>
        </w:rPr>
        <w:t>, interpôs recurso, pleiteando a reforma da r. sentença a fim de que fosse fixada à indenização por dano</w:t>
      </w:r>
      <w:r>
        <w:rPr>
          <w:rFonts w:ascii="Calibri" w:hAnsi="Calibri" w:cs="Calibri"/>
          <w:lang w:val="pt-BR"/>
        </w:rPr>
        <w:t xml:space="preserve"> material e</w:t>
      </w:r>
      <w:r w:rsidR="00181DE2" w:rsidRPr="0020614F">
        <w:rPr>
          <w:rFonts w:ascii="Calibri" w:hAnsi="Calibri" w:cs="Calibri"/>
          <w:lang w:val="pt-BR"/>
        </w:rPr>
        <w:t xml:space="preserve"> moral. Ocorre que o magistrado, satisfatoriamente, motiva sua decisão, inclusive lastreado por majoritária jurisprudência</w:t>
      </w:r>
    </w:p>
    <w:p w14:paraId="6657AD5A" w14:textId="77777777" w:rsidR="001833C2" w:rsidRDefault="001833C2" w:rsidP="0020614F">
      <w:pPr>
        <w:pStyle w:val="PargrafodaLista"/>
        <w:tabs>
          <w:tab w:val="left" w:pos="709"/>
        </w:tabs>
        <w:spacing w:line="320" w:lineRule="exact"/>
        <w:ind w:left="0"/>
        <w:jc w:val="both"/>
        <w:rPr>
          <w:rFonts w:ascii="Calibri" w:hAnsi="Calibri" w:cs="Calibri"/>
          <w:lang w:val="pt-BR"/>
        </w:rPr>
      </w:pPr>
    </w:p>
    <w:p w14:paraId="33975707" w14:textId="3D7C2C94" w:rsidR="0004661C" w:rsidRPr="0020614F" w:rsidRDefault="003E11A0" w:rsidP="00396D72">
      <w:pPr>
        <w:pStyle w:val="PargrafodaLista"/>
        <w:tabs>
          <w:tab w:val="left" w:pos="709"/>
        </w:tabs>
        <w:spacing w:line="320" w:lineRule="exact"/>
        <w:ind w:left="0" w:right="426"/>
        <w:jc w:val="both"/>
        <w:rPr>
          <w:rFonts w:ascii="Calibri" w:hAnsi="Calibri" w:cs="Calibri"/>
          <w:lang w:val="pt-BR"/>
        </w:rPr>
      </w:pPr>
      <w:r w:rsidRPr="0020614F">
        <w:rPr>
          <w:rFonts w:ascii="Calibri" w:hAnsi="Calibri" w:cs="Calibri"/>
          <w:lang w:val="pt-BR"/>
        </w:rPr>
        <w:tab/>
      </w:r>
      <w:r w:rsidR="0004661C" w:rsidRPr="0020614F">
        <w:rPr>
          <w:rFonts w:ascii="Calibri" w:hAnsi="Calibri" w:cs="Calibri"/>
          <w:lang w:val="pt-BR"/>
        </w:rPr>
        <w:t>Assim, certo é que o recurso autoral urge ser de plano desprovido, como restará a seguir sobejamente demonstrado e provado.</w:t>
      </w:r>
    </w:p>
    <w:p w14:paraId="4BED220A" w14:textId="77777777" w:rsidR="0004661C" w:rsidRDefault="0004661C" w:rsidP="00396D72">
      <w:pPr>
        <w:pStyle w:val="PargrafodaLista"/>
        <w:tabs>
          <w:tab w:val="left" w:pos="709"/>
        </w:tabs>
        <w:spacing w:line="320" w:lineRule="exact"/>
        <w:ind w:left="0" w:right="426"/>
        <w:jc w:val="both"/>
        <w:rPr>
          <w:rFonts w:ascii="Calibri" w:hAnsi="Calibri" w:cs="Calibri"/>
          <w:lang w:val="pt-BR"/>
        </w:rPr>
      </w:pPr>
    </w:p>
    <w:p w14:paraId="1CE9B99E" w14:textId="77777777" w:rsidR="00D4797D" w:rsidRDefault="00D4797D" w:rsidP="00396D72">
      <w:pPr>
        <w:pStyle w:val="PargrafodaLista"/>
        <w:tabs>
          <w:tab w:val="left" w:pos="709"/>
        </w:tabs>
        <w:spacing w:line="320" w:lineRule="exact"/>
        <w:ind w:left="0" w:right="426"/>
        <w:jc w:val="both"/>
        <w:rPr>
          <w:rFonts w:ascii="Calibri" w:hAnsi="Calibri" w:cs="Calibri"/>
          <w:lang w:val="pt-BR"/>
        </w:rPr>
      </w:pPr>
    </w:p>
    <w:p w14:paraId="103A76C5" w14:textId="74D954EB" w:rsidR="004255B4" w:rsidRPr="004255B4" w:rsidRDefault="004255B4" w:rsidP="004255B4">
      <w:pPr>
        <w:pStyle w:val="PargrafodaLista"/>
        <w:tabs>
          <w:tab w:val="left" w:pos="709"/>
        </w:tabs>
        <w:spacing w:line="320" w:lineRule="exact"/>
        <w:ind w:right="426"/>
        <w:jc w:val="center"/>
        <w:rPr>
          <w:rFonts w:cs="Calibri"/>
          <w:b/>
          <w:bCs/>
        </w:rPr>
      </w:pPr>
      <w:r w:rsidRPr="004255B4">
        <w:rPr>
          <w:rFonts w:cs="Calibri"/>
          <w:b/>
          <w:bCs/>
        </w:rPr>
        <w:t>PRELIMINARMENTE</w:t>
      </w:r>
      <w:r w:rsidRPr="004255B4">
        <w:rPr>
          <w:rFonts w:cs="Calibri"/>
          <w:b/>
          <w:bCs/>
        </w:rPr>
        <w:br/>
        <w:t>DA ILEGITIMIDADE PASSIVA. DA NÃO TITULARIDADE DA CEF SOBRE O IMÓVEL</w:t>
      </w:r>
    </w:p>
    <w:p w14:paraId="50B6667D" w14:textId="77777777" w:rsidR="004255B4" w:rsidRDefault="004255B4" w:rsidP="00396D72">
      <w:pPr>
        <w:pStyle w:val="PargrafodaLista"/>
        <w:tabs>
          <w:tab w:val="left" w:pos="709"/>
        </w:tabs>
        <w:spacing w:line="320" w:lineRule="exact"/>
        <w:ind w:left="0" w:right="426"/>
        <w:jc w:val="both"/>
        <w:rPr>
          <w:rFonts w:ascii="Calibri" w:hAnsi="Calibri" w:cs="Calibri"/>
          <w:lang w:val="pt-BR"/>
        </w:rPr>
      </w:pPr>
    </w:p>
    <w:p w14:paraId="284BE690" w14:textId="77777777" w:rsidR="00D4797D" w:rsidRDefault="00D4797D" w:rsidP="00396D72">
      <w:pPr>
        <w:pStyle w:val="PargrafodaLista"/>
        <w:tabs>
          <w:tab w:val="left" w:pos="709"/>
        </w:tabs>
        <w:spacing w:line="320" w:lineRule="exact"/>
        <w:ind w:left="0" w:right="426"/>
        <w:jc w:val="both"/>
        <w:rPr>
          <w:rFonts w:ascii="Calibri" w:hAnsi="Calibri" w:cs="Calibri"/>
          <w:lang w:val="pt-BR"/>
        </w:rPr>
      </w:pPr>
    </w:p>
    <w:p w14:paraId="4E764EBE" w14:textId="474D1F95"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Trata-se de </w:t>
      </w:r>
      <w:r>
        <w:rPr>
          <w:rFonts w:asciiTheme="minorHAnsi" w:hAnsiTheme="minorHAnsi" w:cstheme="minorHAnsi"/>
          <w:sz w:val="24"/>
          <w:szCs w:val="24"/>
        </w:rPr>
        <w:t>impertinente execução de título extrajudicial</w:t>
      </w:r>
      <w:r w:rsidRPr="00C60C97">
        <w:rPr>
          <w:rFonts w:asciiTheme="minorHAnsi" w:hAnsiTheme="minorHAnsi" w:cstheme="minorHAnsi"/>
          <w:sz w:val="24"/>
          <w:szCs w:val="24"/>
        </w:rPr>
        <w:t xml:space="preserve"> que visa a cobrança de </w:t>
      </w:r>
      <w:r>
        <w:rPr>
          <w:rFonts w:asciiTheme="minorHAnsi" w:hAnsiTheme="minorHAnsi" w:cstheme="minorHAnsi"/>
          <w:sz w:val="24"/>
          <w:szCs w:val="24"/>
        </w:rPr>
        <w:t>taxas condominiais</w:t>
      </w:r>
      <w:r w:rsidRPr="00C60C97">
        <w:rPr>
          <w:rFonts w:asciiTheme="minorHAnsi" w:hAnsiTheme="minorHAnsi" w:cstheme="minorHAnsi"/>
          <w:sz w:val="24"/>
          <w:szCs w:val="24"/>
        </w:rPr>
        <w:t xml:space="preserve"> referente ao</w:t>
      </w:r>
      <w:r>
        <w:rPr>
          <w:rFonts w:asciiTheme="minorHAnsi" w:hAnsiTheme="minorHAnsi" w:cstheme="minorHAnsi"/>
          <w:sz w:val="24"/>
          <w:szCs w:val="24"/>
        </w:rPr>
        <w:t xml:space="preserve"> período de</w:t>
      </w:r>
      <w:r w:rsidRPr="00C60C97">
        <w:rPr>
          <w:rFonts w:asciiTheme="minorHAnsi" w:hAnsiTheme="minorHAnsi" w:cstheme="minorHAnsi"/>
          <w:sz w:val="24"/>
          <w:szCs w:val="24"/>
        </w:rPr>
        <w:t xml:space="preserve"> </w:t>
      </w:r>
      <w:r>
        <w:rPr>
          <w:rFonts w:asciiTheme="minorHAnsi" w:hAnsiTheme="minorHAnsi" w:cstheme="minorHAnsi"/>
          <w:sz w:val="24"/>
          <w:szCs w:val="24"/>
          <w:lang w:val="pt-BR"/>
        </w:rPr>
        <w:t>Fevereiro</w:t>
      </w:r>
      <w:r w:rsidRPr="007E1115">
        <w:rPr>
          <w:rFonts w:asciiTheme="minorHAnsi" w:hAnsiTheme="minorHAnsi" w:cstheme="minorHAnsi"/>
          <w:sz w:val="24"/>
          <w:szCs w:val="24"/>
          <w:lang w:val="pt-BR"/>
        </w:rPr>
        <w:t>/20</w:t>
      </w:r>
      <w:r>
        <w:rPr>
          <w:rFonts w:asciiTheme="minorHAnsi" w:hAnsiTheme="minorHAnsi" w:cstheme="minorHAnsi"/>
          <w:sz w:val="24"/>
          <w:szCs w:val="24"/>
          <w:lang w:val="pt-BR"/>
        </w:rPr>
        <w:t>16</w:t>
      </w:r>
      <w:r w:rsidRPr="007E1115">
        <w:rPr>
          <w:rFonts w:asciiTheme="minorHAnsi" w:hAnsiTheme="minorHAnsi" w:cstheme="minorHAnsi"/>
          <w:sz w:val="24"/>
          <w:szCs w:val="24"/>
          <w:lang w:val="pt-BR"/>
        </w:rPr>
        <w:t xml:space="preserve"> até </w:t>
      </w:r>
      <w:r>
        <w:rPr>
          <w:rFonts w:asciiTheme="minorHAnsi" w:hAnsiTheme="minorHAnsi" w:cstheme="minorHAnsi"/>
          <w:sz w:val="24"/>
          <w:szCs w:val="24"/>
          <w:lang w:val="pt-BR"/>
        </w:rPr>
        <w:t>Abril</w:t>
      </w:r>
      <w:r w:rsidRPr="007E1115">
        <w:rPr>
          <w:rFonts w:asciiTheme="minorHAnsi" w:hAnsiTheme="minorHAnsi" w:cstheme="minorHAnsi"/>
          <w:sz w:val="24"/>
          <w:szCs w:val="24"/>
          <w:lang w:val="pt-BR"/>
        </w:rPr>
        <w:t>/202</w:t>
      </w:r>
      <w:r>
        <w:rPr>
          <w:rFonts w:asciiTheme="minorHAnsi" w:hAnsiTheme="minorHAnsi" w:cstheme="minorHAnsi"/>
          <w:sz w:val="24"/>
          <w:szCs w:val="24"/>
          <w:lang w:val="pt-BR"/>
        </w:rPr>
        <w:t xml:space="preserve">2 </w:t>
      </w:r>
      <w:r w:rsidRPr="00C60C97">
        <w:rPr>
          <w:rFonts w:asciiTheme="minorHAnsi" w:hAnsiTheme="minorHAnsi" w:cstheme="minorHAnsi"/>
          <w:sz w:val="24"/>
          <w:szCs w:val="24"/>
        </w:rPr>
        <w:t xml:space="preserve">sobre o imóvel </w:t>
      </w:r>
      <w:r>
        <w:rPr>
          <w:rFonts w:asciiTheme="minorHAnsi" w:hAnsiTheme="minorHAnsi" w:cstheme="minorHAnsi"/>
          <w:sz w:val="24"/>
          <w:szCs w:val="24"/>
        </w:rPr>
        <w:t>já apresentado no bojo dos autos, inclusive nesta defesa</w:t>
      </w:r>
      <w:r w:rsidRPr="00C60C97">
        <w:rPr>
          <w:rFonts w:asciiTheme="minorHAnsi" w:hAnsiTheme="minorHAnsi" w:cstheme="minorHAnsi"/>
          <w:sz w:val="24"/>
          <w:szCs w:val="24"/>
        </w:rPr>
        <w:t>.</w:t>
      </w:r>
    </w:p>
    <w:p w14:paraId="2BB7BFCB"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43459062"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5EC0DDEF" w14:textId="23BB60EB"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No entanto, </w:t>
      </w:r>
      <w:r>
        <w:rPr>
          <w:rFonts w:asciiTheme="minorHAnsi" w:hAnsiTheme="minorHAnsi" w:cstheme="minorHAnsi"/>
          <w:sz w:val="24"/>
          <w:szCs w:val="24"/>
        </w:rPr>
        <w:t>a CAIXA</w:t>
      </w:r>
      <w:r w:rsidRPr="00C60C97">
        <w:rPr>
          <w:rFonts w:asciiTheme="minorHAnsi" w:hAnsiTheme="minorHAnsi" w:cstheme="minorHAnsi"/>
          <w:sz w:val="24"/>
          <w:szCs w:val="24"/>
        </w:rPr>
        <w:t xml:space="preserve"> não encontrou, até o presente momento, comprovação de que este imóvel seja de sua propriedade.</w:t>
      </w:r>
      <w:r>
        <w:rPr>
          <w:rFonts w:asciiTheme="minorHAnsi" w:hAnsiTheme="minorHAnsi" w:cstheme="minorHAnsi"/>
          <w:sz w:val="24"/>
          <w:szCs w:val="24"/>
        </w:rPr>
        <w:t xml:space="preserve"> Muito pelo contrário, já restou exaustivamente comprovado e ratificado pela sentença que a CAIXA NÃO É PROPRIETÁRIA DO IMÓVEL EM DÉBITO COM O CONDOMÍNIO.</w:t>
      </w:r>
    </w:p>
    <w:p w14:paraId="40E4027B"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F206D19"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15B11638"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42908A93"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119AA950"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61CC5A7D" w14:textId="5E4EC8C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lastRenderedPageBreak/>
        <w:t xml:space="preserve">O imóvel foi destinado </w:t>
      </w:r>
      <w:r w:rsidR="00886EC8">
        <w:rPr>
          <w:rFonts w:asciiTheme="minorHAnsi" w:hAnsiTheme="minorHAnsi" w:cstheme="minorHAnsi"/>
          <w:sz w:val="24"/>
          <w:szCs w:val="24"/>
          <w:lang w:val="pt-BR"/>
        </w:rPr>
        <w:t>à</w:t>
      </w:r>
      <w:r w:rsidRPr="004255B4">
        <w:rPr>
          <w:rFonts w:asciiTheme="minorHAnsi" w:hAnsiTheme="minorHAnsi" w:cstheme="minorHAnsi"/>
          <w:sz w:val="24"/>
          <w:szCs w:val="24"/>
          <w:lang w:val="pt-BR"/>
        </w:rPr>
        <w:t xml:space="preserve"> beneficiári</w:t>
      </w:r>
      <w:r w:rsidR="00886EC8">
        <w:rPr>
          <w:rFonts w:asciiTheme="minorHAnsi" w:hAnsiTheme="minorHAnsi" w:cstheme="minorHAnsi"/>
          <w:sz w:val="24"/>
          <w:szCs w:val="24"/>
          <w:lang w:val="pt-BR"/>
        </w:rPr>
        <w:t>a</w:t>
      </w:r>
      <w:r w:rsidRPr="004255B4">
        <w:rPr>
          <w:rFonts w:asciiTheme="minorHAnsi" w:hAnsiTheme="minorHAnsi" w:cstheme="minorHAnsi"/>
          <w:sz w:val="24"/>
          <w:szCs w:val="24"/>
          <w:lang w:val="pt-BR"/>
        </w:rPr>
        <w:t xml:space="preserve">, que assinou com o FUNDO DE ARRENDAMENTO RESIDENCIAL o Contrato de compra e venda com garantia de alienação fiduciária do imóvel nº 872011760677-7 e está na posse do imóvel. </w:t>
      </w:r>
    </w:p>
    <w:p w14:paraId="74DCC50C"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597B871D"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t xml:space="preserve">Neste contexto, são OBRIGAÇÕES DOS BENEFICIÁRIOS: </w:t>
      </w:r>
    </w:p>
    <w:p w14:paraId="2C4BB397"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Pagar regularmente o encargo mensal; </w:t>
      </w:r>
    </w:p>
    <w:p w14:paraId="711F6DF5"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Ocupar o imóvel após a formalização do instrumento contratual; </w:t>
      </w:r>
    </w:p>
    <w:p w14:paraId="325A76B2"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Residir no imóvel; </w:t>
      </w:r>
    </w:p>
    <w:p w14:paraId="1FF76E22"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6FF26923"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57D89765"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2825CC96"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31792690" w14:textId="2B34EAF0"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Manter o imóvel em condições de habitabilidade, segurança e conservação, fazendo às suas expensas as obras e reparos necessários à preservação da garantia contratada; </w:t>
      </w:r>
    </w:p>
    <w:p w14:paraId="35F5D743"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30A4C6A6"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Assumir todas as despesas incidentes sobre o imóvel, a partir da contratação – IPTU, energia elétrica, água, taxas de condomínio, limpeza urbana e outras, arbitradas pelo Poder Público; </w:t>
      </w:r>
    </w:p>
    <w:p w14:paraId="51E4D5C6" w14:textId="32C0FC88"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Observar a proibição de efetuar remembramento dos lotes objeto do Programa; </w:t>
      </w:r>
    </w:p>
    <w:p w14:paraId="1F1C3137"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Contatar a CAIXA, via </w:t>
      </w:r>
      <w:proofErr w:type="spellStart"/>
      <w:r w:rsidRPr="00886EC8">
        <w:rPr>
          <w:rFonts w:asciiTheme="minorHAnsi" w:hAnsiTheme="minorHAnsi" w:cstheme="minorHAnsi"/>
          <w:b/>
          <w:bCs/>
          <w:i/>
          <w:iCs/>
          <w:sz w:val="24"/>
          <w:szCs w:val="24"/>
          <w:lang w:val="pt-BR"/>
        </w:rPr>
        <w:t>Telesserviços</w:t>
      </w:r>
      <w:proofErr w:type="spellEnd"/>
      <w:r w:rsidRPr="00886EC8">
        <w:rPr>
          <w:rFonts w:asciiTheme="minorHAnsi" w:hAnsiTheme="minorHAnsi" w:cstheme="minorHAnsi"/>
          <w:b/>
          <w:bCs/>
          <w:i/>
          <w:iCs/>
          <w:sz w:val="24"/>
          <w:szCs w:val="24"/>
          <w:lang w:val="pt-BR"/>
        </w:rPr>
        <w:t xml:space="preserve">, no caso de constatação da existência de vícios de construção no imóvel e/ou no empreendimento; </w:t>
      </w:r>
    </w:p>
    <w:p w14:paraId="5D5E972E"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Observar as demais cláusulas do contrato</w:t>
      </w:r>
    </w:p>
    <w:p w14:paraId="0EF38F31"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2BF7A2A3"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t xml:space="preserve">Nos termos da cláusula vigésima quarta do contrato assinado com a beneficiária: </w:t>
      </w:r>
    </w:p>
    <w:p w14:paraId="3282D1EB"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4A1FAEC5"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t xml:space="preserve">24 – ENCARGOS FISCAIS – Os impostos, taxas ou outros tributos incidentes sobre o imóvel deverão ser pagos em dia, pelo(s) DEVEDOR(ES), podendo a CAIXA/FAR exigir a sua comprovação </w:t>
      </w:r>
    </w:p>
    <w:p w14:paraId="2F26A378"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3EAB765B"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38D9C55F"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5CADA45C"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5F1B3275" w14:textId="1575A0FC"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lastRenderedPageBreak/>
        <w:t>Assim, a obrigação de realizar o pagamento das taxas condominiais é exclusiva da beneficiária do programa, que assinou</w:t>
      </w:r>
      <w:r>
        <w:rPr>
          <w:rFonts w:asciiTheme="minorHAnsi" w:hAnsiTheme="minorHAnsi" w:cstheme="minorHAnsi"/>
          <w:sz w:val="24"/>
          <w:szCs w:val="24"/>
          <w:lang w:val="pt-BR"/>
        </w:rPr>
        <w:t xml:space="preserve"> </w:t>
      </w:r>
      <w:r w:rsidRPr="004255B4">
        <w:rPr>
          <w:rFonts w:asciiTheme="minorHAnsi" w:hAnsiTheme="minorHAnsi" w:cstheme="minorHAnsi"/>
          <w:sz w:val="24"/>
          <w:szCs w:val="24"/>
          <w:lang w:val="pt-BR"/>
        </w:rPr>
        <w:t>com o FUNDO DE ARRENDAMENTO RESIDENCIAL o Contrato de compra e venda com garantia de alienação fiduciária do imóvel nº 872011760677-7 e está na posse do imóvel.</w:t>
      </w:r>
    </w:p>
    <w:p w14:paraId="4698E726"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5A6A31A1" w14:textId="48F2141E"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t>Consoante precedente de decisão em recente incidente de uniformização n. 5016428-78.2014.4.04.7001/PR, a TURMA REGIONAL DE UNIFORMIZAÇÃO manteve a decisão da 1º Turma Recursal Do Paraná a qual reconheceu a ilegitimidade passiva da CAIXA, fundamentado que o critério para verificar o dever de pagamento da taxa mensal de condomínio não é a propriedade, mas sim a posse direta do bem usufruído e a inequívoca ciência da administração do condomínio.</w:t>
      </w:r>
    </w:p>
    <w:p w14:paraId="7D265DD5"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1F521C1D" w14:textId="7DE025D6"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t xml:space="preserve">O TRF4 reconheceu a ilegitimidade passiva da CAIXA nos contratos com alienação fiduciária ao FAR - agravo de instrumento 5006200- 90.2017.4.04.0000/SC -, no dia 16.08.2017, da relatoria do Des. Eduardo Gomes </w:t>
      </w:r>
      <w:proofErr w:type="spellStart"/>
      <w:r w:rsidRPr="004255B4">
        <w:rPr>
          <w:rFonts w:asciiTheme="minorHAnsi" w:hAnsiTheme="minorHAnsi" w:cstheme="minorHAnsi"/>
          <w:sz w:val="24"/>
          <w:szCs w:val="24"/>
          <w:lang w:val="pt-BR"/>
        </w:rPr>
        <w:t>Philippsen</w:t>
      </w:r>
      <w:proofErr w:type="spellEnd"/>
      <w:r w:rsidRPr="004255B4">
        <w:rPr>
          <w:rFonts w:asciiTheme="minorHAnsi" w:hAnsiTheme="minorHAnsi" w:cstheme="minorHAnsi"/>
          <w:sz w:val="24"/>
          <w:szCs w:val="24"/>
          <w:lang w:val="pt-BR"/>
        </w:rPr>
        <w:t>:</w:t>
      </w:r>
    </w:p>
    <w:p w14:paraId="2C0203F6"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249AF31C" w14:textId="7AB13901" w:rsidR="004255B4" w:rsidRPr="004255B4" w:rsidRDefault="004255B4" w:rsidP="004255B4">
      <w:pPr>
        <w:pStyle w:val="CaixaPadro"/>
        <w:numPr>
          <w:ilvl w:val="0"/>
          <w:numId w:val="0"/>
        </w:numPr>
        <w:tabs>
          <w:tab w:val="left" w:pos="2835"/>
        </w:tabs>
        <w:ind w:left="2268"/>
        <w:rPr>
          <w:rFonts w:asciiTheme="minorHAnsi" w:hAnsiTheme="minorHAnsi" w:cstheme="minorHAnsi"/>
          <w:i/>
          <w:iCs/>
          <w:sz w:val="24"/>
          <w:szCs w:val="24"/>
          <w:lang w:val="pt-BR"/>
        </w:rPr>
      </w:pPr>
      <w:r w:rsidRPr="004255B4">
        <w:rPr>
          <w:rFonts w:asciiTheme="minorHAnsi" w:hAnsiTheme="minorHAnsi" w:cstheme="minorHAnsi"/>
          <w:i/>
          <w:iCs/>
          <w:sz w:val="24"/>
          <w:szCs w:val="24"/>
          <w:lang w:val="pt-BR"/>
        </w:rPr>
        <w:t>“AGRAVO DE INSTRUMENTO. EXECUÇÃO DE TÍTULO EXTRAJUDICIAL. COTAS CONDOMINIAIS. CREDOR FIDUCIÁRIO. CONTRATO DE COMPRA E VENDA DO IMÓVEL COM CONCOMITANTE ALIENAÇÃO FIDUCIÁRIA AO FUNDO DE ARRENDAMENTO RESIDENCIAL - FAR. ILEGITIMIDADE PASSIVA DA CEF. 1. Tratando-se de imóvel vendido com concomitante alienação fiduciária ao Fundo de Arrendamento Residencial - FAR - e não de contrato de arrendamento residencial previsto no Capítulo II da Lei nº 10.188/2001 -, o FAR/ Caixa Econômica Federal não detém a propriedade plena do imóvel. 2. Caso de constituição de uma propriedade fiduciária que, por sua natureza e definição legal, é constituída com o escopo da garantia (art. 1361 do CC), sujeitando-se ao mesmo conjunto de normas que regem os direitos reais de garantia (penhor, hipoteca e anticrese), não se equiparando, para quaisquer efeitos, à propriedade plena (art. 1367 do CC). 3. Ausente a consolidação da propriedade plena em nome do FAR/CEF, essa não possui qualquer responsabilidade com as despesas de condomínio.</w:t>
      </w:r>
    </w:p>
    <w:p w14:paraId="64A60868" w14:textId="20D182F9" w:rsidR="004255B4" w:rsidRPr="004255B4" w:rsidRDefault="004255B4" w:rsidP="004255B4">
      <w:pPr>
        <w:pStyle w:val="CaixaPadro"/>
        <w:numPr>
          <w:ilvl w:val="0"/>
          <w:numId w:val="0"/>
        </w:numPr>
        <w:tabs>
          <w:tab w:val="left" w:pos="2835"/>
        </w:tabs>
        <w:ind w:left="2268"/>
        <w:rPr>
          <w:rFonts w:asciiTheme="minorHAnsi" w:hAnsiTheme="minorHAnsi" w:cstheme="minorHAnsi"/>
          <w:i/>
          <w:iCs/>
          <w:sz w:val="24"/>
          <w:szCs w:val="24"/>
          <w:lang w:val="pt-BR"/>
        </w:rPr>
      </w:pPr>
      <w:r w:rsidRPr="004255B4">
        <w:rPr>
          <w:rFonts w:asciiTheme="minorHAnsi" w:hAnsiTheme="minorHAnsi" w:cstheme="minorHAnsi"/>
          <w:i/>
          <w:iCs/>
          <w:sz w:val="24"/>
          <w:szCs w:val="24"/>
          <w:lang w:val="pt-BR"/>
        </w:rPr>
        <w:t>4. É do devedor fiduciante, que mora no bem e detém o direito à propriedade futura, o dever de pagamento das cotas condominiais. 5. Agravo de instrumento improvido.”</w:t>
      </w:r>
    </w:p>
    <w:p w14:paraId="171883FE"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029E4436"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3B0F2F20"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3165C447"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280F0DF7" w14:textId="16074354"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4255B4">
        <w:rPr>
          <w:rFonts w:asciiTheme="minorHAnsi" w:hAnsiTheme="minorHAnsi" w:cstheme="minorHAnsi"/>
          <w:sz w:val="24"/>
          <w:szCs w:val="24"/>
          <w:lang w:val="pt-BR"/>
        </w:rPr>
        <w:t xml:space="preserve">Dessa forma, a Caixa/FAR é parte ilegítima para figurar no </w:t>
      </w:r>
      <w:r w:rsidR="00886EC8" w:rsidRPr="004255B4">
        <w:rPr>
          <w:rFonts w:asciiTheme="minorHAnsi" w:hAnsiTheme="minorHAnsi" w:cstheme="minorHAnsi"/>
          <w:sz w:val="24"/>
          <w:szCs w:val="24"/>
          <w:lang w:val="pt-BR"/>
        </w:rPr>
        <w:t>polo</w:t>
      </w:r>
      <w:r w:rsidRPr="004255B4">
        <w:rPr>
          <w:rFonts w:asciiTheme="minorHAnsi" w:hAnsiTheme="minorHAnsi" w:cstheme="minorHAnsi"/>
          <w:sz w:val="24"/>
          <w:szCs w:val="24"/>
          <w:lang w:val="pt-BR"/>
        </w:rPr>
        <w:t xml:space="preserve"> passivo da execução de título extrajudicial, tendo em vista não ser a possuidora direta do imóvel cujas despesas condominiais são objeto da ação, porque os autos tratam de contrato de alienação fiduciária ao Fundo de Arrendamento Residencial, sendo o devedor fiduciante beneficiário residente, contra quem, exclusivamente, deve voltar-se o condomínio.</w:t>
      </w:r>
    </w:p>
    <w:p w14:paraId="2C02106A"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rPr>
      </w:pPr>
    </w:p>
    <w:p w14:paraId="64978509" w14:textId="0AFD21B0"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Assim, não há nos autos nada que comprove qualquer relação desta empresa pública com o imóvel apontado, não sendo possível imputar à ora </w:t>
      </w:r>
      <w:r>
        <w:rPr>
          <w:rFonts w:asciiTheme="minorHAnsi" w:hAnsiTheme="minorHAnsi" w:cstheme="minorHAnsi"/>
          <w:sz w:val="24"/>
          <w:szCs w:val="24"/>
        </w:rPr>
        <w:t>ré</w:t>
      </w:r>
      <w:r w:rsidRPr="00C60C97">
        <w:rPr>
          <w:rFonts w:asciiTheme="minorHAnsi" w:hAnsiTheme="minorHAnsi" w:cstheme="minorHAnsi"/>
          <w:sz w:val="24"/>
          <w:szCs w:val="24"/>
        </w:rPr>
        <w:t xml:space="preserve"> a obrigação de recolhimento </w:t>
      </w:r>
      <w:r>
        <w:rPr>
          <w:rFonts w:asciiTheme="minorHAnsi" w:hAnsiTheme="minorHAnsi" w:cstheme="minorHAnsi"/>
          <w:sz w:val="24"/>
          <w:szCs w:val="24"/>
        </w:rPr>
        <w:t>das taxas condominiais</w:t>
      </w:r>
      <w:r w:rsidRPr="00C60C97">
        <w:rPr>
          <w:rFonts w:asciiTheme="minorHAnsi" w:hAnsiTheme="minorHAnsi" w:cstheme="minorHAnsi"/>
          <w:sz w:val="24"/>
          <w:szCs w:val="24"/>
        </w:rPr>
        <w:t xml:space="preserve"> incidentes sobre dito imóvel, vez que sequer há prova de propriedade.</w:t>
      </w:r>
    </w:p>
    <w:p w14:paraId="23D78EFA"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F94C518"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Portanto, até que seja provado ou localizado em seus sistemas internos, a CEF NÃO É PROPRIETÁRIA DO IMOVEL, e não se reveste da condição de sujeito passivo da obrigação </w:t>
      </w:r>
      <w:r>
        <w:rPr>
          <w:rFonts w:asciiTheme="minorHAnsi" w:hAnsiTheme="minorHAnsi" w:cstheme="minorHAnsi"/>
          <w:sz w:val="24"/>
          <w:szCs w:val="24"/>
        </w:rPr>
        <w:t>obrigação das taxas condomininais relativas ao imóvel</w:t>
      </w:r>
      <w:r w:rsidRPr="00C60C97">
        <w:rPr>
          <w:rFonts w:asciiTheme="minorHAnsi" w:hAnsiTheme="minorHAnsi" w:cstheme="minorHAnsi"/>
          <w:sz w:val="24"/>
          <w:szCs w:val="24"/>
        </w:rPr>
        <w:t xml:space="preserve">, devendo o processo ser extinto sem exame do mérito. </w:t>
      </w:r>
    </w:p>
    <w:p w14:paraId="2959ED02"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79E61D8C"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Pr>
          <w:rFonts w:asciiTheme="minorHAnsi" w:hAnsiTheme="minorHAnsi" w:cstheme="minorHAnsi"/>
          <w:sz w:val="24"/>
          <w:szCs w:val="24"/>
        </w:rPr>
        <w:t>Reforçando e comprovando o que se alega, segue em anexo o contrato de alienação fiduciária, do qual destacamos pertinente trecho:</w:t>
      </w:r>
    </w:p>
    <w:p w14:paraId="0C086A11"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39D9B85C"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70828560" w14:textId="77777777" w:rsidR="004255B4" w:rsidRPr="00C60C97" w:rsidRDefault="004255B4" w:rsidP="004255B4">
      <w:pPr>
        <w:pStyle w:val="CaixaPadro"/>
        <w:numPr>
          <w:ilvl w:val="0"/>
          <w:numId w:val="0"/>
        </w:numPr>
        <w:tabs>
          <w:tab w:val="left" w:pos="2835"/>
        </w:tabs>
        <w:rPr>
          <w:rFonts w:asciiTheme="minorHAnsi" w:hAnsiTheme="minorHAnsi" w:cstheme="minorHAnsi"/>
          <w:sz w:val="24"/>
          <w:szCs w:val="24"/>
        </w:rPr>
      </w:pPr>
      <w:r>
        <w:rPr>
          <w:rFonts w:asciiTheme="minorHAnsi" w:hAnsiTheme="minorHAnsi" w:cstheme="minorHAnsi"/>
          <w:noProof/>
          <w:sz w:val="24"/>
          <w:szCs w:val="24"/>
        </w:rPr>
        <w:lastRenderedPageBreak/>
        <w:drawing>
          <wp:inline distT="0" distB="0" distL="0" distR="0" wp14:anchorId="44FC772D" wp14:editId="2474DCB4">
            <wp:extent cx="6257925" cy="3714750"/>
            <wp:effectExtent l="0" t="0" r="9525" b="0"/>
            <wp:docPr id="1089786184" name="Imagem 1"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86184" name="Imagem 1" descr="Interface gráfica do usuário, Texto, Aplicativo, Email&#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3714750"/>
                    </a:xfrm>
                    <a:prstGeom prst="rect">
                      <a:avLst/>
                    </a:prstGeom>
                    <a:noFill/>
                    <a:ln>
                      <a:noFill/>
                    </a:ln>
                  </pic:spPr>
                </pic:pic>
              </a:graphicData>
            </a:graphic>
          </wp:inline>
        </w:drawing>
      </w:r>
    </w:p>
    <w:p w14:paraId="5A43998D"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6C410A1"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7ABEA4DC" w14:textId="77777777" w:rsidR="004255B4" w:rsidRDefault="004255B4" w:rsidP="004255B4">
      <w:pPr>
        <w:pStyle w:val="CaixaPadro"/>
        <w:numPr>
          <w:ilvl w:val="0"/>
          <w:numId w:val="0"/>
        </w:numPr>
        <w:tabs>
          <w:tab w:val="left" w:pos="2835"/>
        </w:tabs>
        <w:ind w:firstLine="2835"/>
        <w:rPr>
          <w:rFonts w:asciiTheme="minorHAnsi" w:hAnsiTheme="minorHAnsi" w:cstheme="minorHAnsi"/>
          <w:b/>
          <w:bCs/>
          <w:sz w:val="24"/>
          <w:szCs w:val="24"/>
          <w:u w:val="single"/>
        </w:rPr>
      </w:pPr>
      <w:r w:rsidRPr="00652178">
        <w:rPr>
          <w:rFonts w:asciiTheme="minorHAnsi" w:hAnsiTheme="minorHAnsi" w:cstheme="minorHAnsi"/>
          <w:b/>
          <w:bCs/>
          <w:sz w:val="24"/>
          <w:szCs w:val="24"/>
          <w:u w:val="single"/>
        </w:rPr>
        <w:t>Há de se ressaltar que nos termos da Lei 9.514/97, art. 26, somente se consolidará a propriedade do credor fiduciário na hipótese de inadimplência do devedor fiduciário, o que não é o caso dos autos!</w:t>
      </w:r>
    </w:p>
    <w:p w14:paraId="21BC1A0B" w14:textId="77777777" w:rsidR="004255B4" w:rsidRDefault="004255B4" w:rsidP="004255B4">
      <w:pPr>
        <w:pStyle w:val="CaixaPadro"/>
        <w:numPr>
          <w:ilvl w:val="0"/>
          <w:numId w:val="0"/>
        </w:numPr>
        <w:tabs>
          <w:tab w:val="left" w:pos="2835"/>
        </w:tabs>
        <w:ind w:firstLine="2835"/>
        <w:rPr>
          <w:rFonts w:asciiTheme="minorHAnsi" w:hAnsiTheme="minorHAnsi" w:cstheme="minorHAnsi"/>
          <w:b/>
          <w:bCs/>
          <w:sz w:val="24"/>
          <w:szCs w:val="24"/>
          <w:u w:val="single"/>
        </w:rPr>
      </w:pPr>
    </w:p>
    <w:p w14:paraId="53060BC6" w14:textId="598739CB" w:rsidR="004255B4" w:rsidRDefault="004255B4" w:rsidP="004255B4">
      <w:pPr>
        <w:pStyle w:val="CaixaPadro"/>
        <w:numPr>
          <w:ilvl w:val="0"/>
          <w:numId w:val="0"/>
        </w:numPr>
        <w:tabs>
          <w:tab w:val="left" w:pos="2835"/>
        </w:tabs>
        <w:ind w:firstLine="2835"/>
        <w:rPr>
          <w:rFonts w:asciiTheme="minorHAnsi" w:hAnsiTheme="minorHAnsi" w:cstheme="minorHAnsi"/>
          <w:b/>
          <w:bCs/>
          <w:sz w:val="24"/>
          <w:szCs w:val="24"/>
          <w:u w:val="single"/>
          <w:lang w:val="pt-BR"/>
        </w:rPr>
      </w:pPr>
      <w:r w:rsidRPr="004255B4">
        <w:rPr>
          <w:rFonts w:asciiTheme="minorHAnsi" w:hAnsiTheme="minorHAnsi" w:cstheme="minorHAnsi"/>
          <w:b/>
          <w:bCs/>
          <w:sz w:val="24"/>
          <w:szCs w:val="24"/>
          <w:u w:val="single"/>
          <w:lang w:val="pt-BR"/>
        </w:rPr>
        <w:t>A 5ª Turma Recursal dos Juizados Especiais Federais, julgando o Recurso Cível 5010228-08.2017.4.04.7112 (14.03.2018) reconheceu a ilegitimidade da CAIXA e a responsabilidade exclusiva do mutuário, com base no entendimento jurisprudencial do STJ.</w:t>
      </w:r>
    </w:p>
    <w:p w14:paraId="7EC79659"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49DFD7AE"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Pr>
          <w:rFonts w:asciiTheme="minorHAnsi" w:hAnsiTheme="minorHAnsi" w:cstheme="minorHAnsi"/>
          <w:sz w:val="24"/>
          <w:szCs w:val="24"/>
        </w:rPr>
        <w:t>Prosseguimos indicando outras disposições contratuais que evidenciam não ser a CAIXA devedora da dívida reclamada em juízo, mormente por não ser a possuidora do imóvel, cuja propriedade está condicionada ao inadimplemento do devedor fiduciário, o que jamais ocorreu, senão vejamos:</w:t>
      </w:r>
    </w:p>
    <w:p w14:paraId="2B621816"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6D42D0B7"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r w:rsidRPr="00652178">
        <w:rPr>
          <w:rFonts w:asciiTheme="minorHAnsi" w:hAnsiTheme="minorHAnsi" w:cstheme="minorHAnsi"/>
          <w:noProof/>
          <w:sz w:val="24"/>
          <w:szCs w:val="24"/>
        </w:rPr>
        <w:drawing>
          <wp:inline distT="0" distB="0" distL="0" distR="0" wp14:anchorId="3243B9B0" wp14:editId="48E960FD">
            <wp:extent cx="5953125" cy="552450"/>
            <wp:effectExtent l="0" t="0" r="9525" b="0"/>
            <wp:docPr id="8698042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04236" name=""/>
                    <pic:cNvPicPr/>
                  </pic:nvPicPr>
                  <pic:blipFill>
                    <a:blip r:embed="rId10"/>
                    <a:stretch>
                      <a:fillRect/>
                    </a:stretch>
                  </pic:blipFill>
                  <pic:spPr>
                    <a:xfrm>
                      <a:off x="0" y="0"/>
                      <a:ext cx="5953125" cy="552450"/>
                    </a:xfrm>
                    <a:prstGeom prst="rect">
                      <a:avLst/>
                    </a:prstGeom>
                  </pic:spPr>
                </pic:pic>
              </a:graphicData>
            </a:graphic>
          </wp:inline>
        </w:drawing>
      </w:r>
    </w:p>
    <w:p w14:paraId="374DFCAF"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1BEB34BA"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r>
        <w:rPr>
          <w:rFonts w:asciiTheme="minorHAnsi" w:hAnsiTheme="minorHAnsi" w:cstheme="minorHAnsi"/>
          <w:sz w:val="24"/>
          <w:szCs w:val="24"/>
        </w:rPr>
        <w:tab/>
      </w:r>
    </w:p>
    <w:p w14:paraId="5C68B0A0"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47310526" w14:textId="374CC431" w:rsidR="004255B4" w:rsidRDefault="004255B4" w:rsidP="004255B4">
      <w:pPr>
        <w:pStyle w:val="CaixaPadro"/>
        <w:numPr>
          <w:ilvl w:val="0"/>
          <w:numId w:val="0"/>
        </w:numPr>
        <w:tabs>
          <w:tab w:val="left" w:pos="2835"/>
        </w:tabs>
        <w:rPr>
          <w:rFonts w:asciiTheme="minorHAnsi" w:hAnsiTheme="minorHAnsi" w:cstheme="minorHAnsi"/>
          <w:sz w:val="24"/>
          <w:szCs w:val="24"/>
        </w:rPr>
      </w:pPr>
      <w:r>
        <w:rPr>
          <w:rFonts w:asciiTheme="minorHAnsi" w:hAnsiTheme="minorHAnsi" w:cstheme="minorHAnsi"/>
          <w:sz w:val="24"/>
          <w:szCs w:val="24"/>
        </w:rPr>
        <w:tab/>
        <w:t>No mesmo sentido temos a cláusula décima terceira:</w:t>
      </w:r>
    </w:p>
    <w:p w14:paraId="005652C7"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r w:rsidRPr="00652178">
        <w:rPr>
          <w:rFonts w:asciiTheme="minorHAnsi" w:hAnsiTheme="minorHAnsi" w:cstheme="minorHAnsi"/>
          <w:noProof/>
          <w:sz w:val="24"/>
          <w:szCs w:val="24"/>
        </w:rPr>
        <w:lastRenderedPageBreak/>
        <w:drawing>
          <wp:inline distT="0" distB="0" distL="0" distR="0" wp14:anchorId="44DEA54A" wp14:editId="2C77E0D3">
            <wp:extent cx="6391275" cy="742950"/>
            <wp:effectExtent l="0" t="0" r="9525" b="0"/>
            <wp:docPr id="6058448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44858" name=""/>
                    <pic:cNvPicPr/>
                  </pic:nvPicPr>
                  <pic:blipFill>
                    <a:blip r:embed="rId11"/>
                    <a:stretch>
                      <a:fillRect/>
                    </a:stretch>
                  </pic:blipFill>
                  <pic:spPr>
                    <a:xfrm>
                      <a:off x="0" y="0"/>
                      <a:ext cx="6391275" cy="742950"/>
                    </a:xfrm>
                    <a:prstGeom prst="rect">
                      <a:avLst/>
                    </a:prstGeom>
                  </pic:spPr>
                </pic:pic>
              </a:graphicData>
            </a:graphic>
          </wp:inline>
        </w:drawing>
      </w:r>
    </w:p>
    <w:p w14:paraId="0AB23E64"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7310283E"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4DE4B74B"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Se houve algum equívoco, portanto, na identificação do </w:t>
      </w:r>
      <w:r>
        <w:rPr>
          <w:rFonts w:asciiTheme="minorHAnsi" w:hAnsiTheme="minorHAnsi" w:cstheme="minorHAnsi"/>
          <w:sz w:val="24"/>
          <w:szCs w:val="24"/>
        </w:rPr>
        <w:t>real devedor</w:t>
      </w:r>
      <w:r w:rsidRPr="00C60C97">
        <w:rPr>
          <w:rFonts w:asciiTheme="minorHAnsi" w:hAnsiTheme="minorHAnsi" w:cstheme="minorHAnsi"/>
          <w:sz w:val="24"/>
          <w:szCs w:val="24"/>
        </w:rPr>
        <w:t xml:space="preserve">, o erro só pode ter decorrido da </w:t>
      </w:r>
      <w:r>
        <w:rPr>
          <w:rFonts w:asciiTheme="minorHAnsi" w:hAnsiTheme="minorHAnsi" w:cstheme="minorHAnsi"/>
          <w:sz w:val="24"/>
          <w:szCs w:val="24"/>
        </w:rPr>
        <w:t>própria parte autora em deixar proceder de forma adequada à cobrança a quem de direito, a saber, o ARRENDATÁRIO</w:t>
      </w:r>
      <w:r w:rsidRPr="00C60C97">
        <w:rPr>
          <w:rFonts w:asciiTheme="minorHAnsi" w:hAnsiTheme="minorHAnsi" w:cstheme="minorHAnsi"/>
          <w:sz w:val="24"/>
          <w:szCs w:val="24"/>
        </w:rPr>
        <w:t>.</w:t>
      </w:r>
    </w:p>
    <w:p w14:paraId="5A588EA3"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264ED9E"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No caso em tela, a CEF não tem a propriedade nem sequer o domínio útil ou posse do bem </w:t>
      </w:r>
      <w:r>
        <w:rPr>
          <w:rFonts w:asciiTheme="minorHAnsi" w:hAnsiTheme="minorHAnsi" w:cstheme="minorHAnsi"/>
          <w:sz w:val="24"/>
          <w:szCs w:val="24"/>
        </w:rPr>
        <w:t>que se cobra as taxas condominiais</w:t>
      </w:r>
      <w:r w:rsidRPr="00C60C97">
        <w:rPr>
          <w:rFonts w:asciiTheme="minorHAnsi" w:hAnsiTheme="minorHAnsi" w:cstheme="minorHAnsi"/>
          <w:sz w:val="24"/>
          <w:szCs w:val="24"/>
        </w:rPr>
        <w:t>, sendo de se concluir pela ilegitimidade de figurar no polo passivo da demanda executiva, o que torna imperiosa sua extinção, nos termos do art. 485, VI, do Código de Processo Civil.</w:t>
      </w:r>
    </w:p>
    <w:p w14:paraId="35B5E738" w14:textId="5DDE14B3" w:rsidR="0004661C" w:rsidRPr="0020614F" w:rsidRDefault="00D4797D" w:rsidP="00290487">
      <w:pPr>
        <w:pStyle w:val="PargrafodaLista"/>
        <w:tabs>
          <w:tab w:val="left" w:pos="0"/>
          <w:tab w:val="left" w:pos="567"/>
        </w:tabs>
        <w:spacing w:line="320" w:lineRule="exact"/>
        <w:ind w:left="0" w:right="426"/>
        <w:jc w:val="center"/>
        <w:rPr>
          <w:rFonts w:ascii="Calibri" w:hAnsi="Calibri" w:cs="Calibri"/>
          <w:b/>
          <w:bCs/>
          <w:smallCaps/>
          <w:lang w:val="pt-BR"/>
        </w:rPr>
      </w:pPr>
      <w:r>
        <w:rPr>
          <w:rFonts w:ascii="Calibri" w:hAnsi="Calibri" w:cs="Calibri"/>
          <w:b/>
          <w:bCs/>
          <w:smallCaps/>
          <w:u w:val="single"/>
          <w:lang w:val="pt-BR"/>
        </w:rPr>
        <w:br/>
      </w:r>
      <w:r w:rsidR="0004661C" w:rsidRPr="0020614F">
        <w:rPr>
          <w:rFonts w:ascii="Calibri" w:hAnsi="Calibri" w:cs="Calibri"/>
          <w:b/>
          <w:bCs/>
          <w:smallCaps/>
          <w:u w:val="single"/>
          <w:lang w:val="pt-BR"/>
        </w:rPr>
        <w:t>Conclusão e pedidos</w:t>
      </w:r>
    </w:p>
    <w:p w14:paraId="1E742A02" w14:textId="77777777" w:rsidR="0004661C" w:rsidRPr="0020614F" w:rsidRDefault="0004661C" w:rsidP="00396D72">
      <w:pPr>
        <w:tabs>
          <w:tab w:val="left" w:pos="0"/>
          <w:tab w:val="left" w:pos="567"/>
        </w:tabs>
        <w:spacing w:line="320" w:lineRule="exact"/>
        <w:ind w:right="426"/>
        <w:jc w:val="center"/>
        <w:rPr>
          <w:rFonts w:cs="Calibri"/>
          <w:b/>
          <w:bCs/>
          <w:smallCaps/>
          <w:sz w:val="24"/>
          <w:szCs w:val="24"/>
        </w:rPr>
      </w:pPr>
    </w:p>
    <w:p w14:paraId="03F05BD9" w14:textId="319603A8" w:rsidR="003E11A0" w:rsidRPr="0020614F" w:rsidRDefault="003E11A0" w:rsidP="00396D72">
      <w:pPr>
        <w:tabs>
          <w:tab w:val="left" w:pos="709"/>
        </w:tabs>
        <w:spacing w:line="320" w:lineRule="exact"/>
        <w:ind w:right="426"/>
        <w:jc w:val="both"/>
        <w:rPr>
          <w:rFonts w:cs="Calibri"/>
          <w:sz w:val="24"/>
          <w:szCs w:val="24"/>
        </w:rPr>
      </w:pPr>
      <w:r w:rsidRPr="0020614F">
        <w:rPr>
          <w:rFonts w:cs="Calibri"/>
          <w:sz w:val="24"/>
          <w:szCs w:val="24"/>
        </w:rPr>
        <w:tab/>
      </w:r>
      <w:r w:rsidR="0004661C" w:rsidRPr="0020614F">
        <w:rPr>
          <w:rFonts w:cs="Calibri"/>
          <w:sz w:val="24"/>
          <w:szCs w:val="24"/>
        </w:rPr>
        <w:t xml:space="preserve">Por todo o exposto, requer a </w:t>
      </w:r>
      <w:r w:rsidR="00090C70" w:rsidRPr="0020614F">
        <w:rPr>
          <w:rFonts w:cs="Calibri"/>
          <w:sz w:val="24"/>
          <w:szCs w:val="24"/>
        </w:rPr>
        <w:t>recorrida</w:t>
      </w:r>
      <w:r w:rsidR="0004661C" w:rsidRPr="0020614F">
        <w:rPr>
          <w:rFonts w:cs="Calibri"/>
          <w:sz w:val="24"/>
          <w:szCs w:val="24"/>
        </w:rPr>
        <w:t xml:space="preserve"> seja </w:t>
      </w:r>
      <w:r w:rsidR="0004661C" w:rsidRPr="0020614F">
        <w:rPr>
          <w:rFonts w:cs="Calibri"/>
          <w:b/>
          <w:bCs/>
          <w:sz w:val="24"/>
          <w:szCs w:val="24"/>
          <w:u w:val="single"/>
        </w:rPr>
        <w:t>negado provimento</w:t>
      </w:r>
      <w:r w:rsidR="0004661C" w:rsidRPr="0020614F">
        <w:rPr>
          <w:rFonts w:cs="Calibri"/>
          <w:sz w:val="24"/>
          <w:szCs w:val="24"/>
        </w:rPr>
        <w:t xml:space="preserve"> ao recurso ora combatido, de modo que seja negado o pedido deduzido.</w:t>
      </w:r>
    </w:p>
    <w:p w14:paraId="6A31F149" w14:textId="77777777" w:rsidR="00886EC8" w:rsidRPr="0020614F" w:rsidRDefault="00886EC8" w:rsidP="00396D72">
      <w:pPr>
        <w:pStyle w:val="PargrafodaLista"/>
        <w:tabs>
          <w:tab w:val="left" w:pos="709"/>
        </w:tabs>
        <w:spacing w:line="320" w:lineRule="exact"/>
        <w:ind w:left="0" w:right="426"/>
        <w:jc w:val="both"/>
        <w:rPr>
          <w:rFonts w:ascii="Calibri" w:hAnsi="Calibri" w:cs="Calibri"/>
          <w:lang w:val="pt-BR"/>
        </w:rPr>
      </w:pPr>
    </w:p>
    <w:p w14:paraId="2F57FE7A" w14:textId="77777777" w:rsidR="007A3913" w:rsidRPr="0020614F" w:rsidRDefault="007A3913" w:rsidP="007A3913">
      <w:pPr>
        <w:pStyle w:val="PargrafodaLista"/>
        <w:tabs>
          <w:tab w:val="left" w:pos="709"/>
        </w:tabs>
        <w:spacing w:line="320" w:lineRule="exact"/>
        <w:ind w:left="0" w:right="426"/>
        <w:jc w:val="both"/>
        <w:rPr>
          <w:rFonts w:ascii="Calibri" w:hAnsi="Calibri" w:cs="Calibri"/>
          <w:lang w:val="pt-BR"/>
        </w:rPr>
      </w:pPr>
      <w:bookmarkStart w:id="0" w:name="_Hlk129718454"/>
      <w:r w:rsidRPr="0020614F">
        <w:rPr>
          <w:rFonts w:ascii="Calibri" w:hAnsi="Calibri" w:cs="Calibri"/>
          <w:lang w:val="pt-BR"/>
        </w:rPr>
        <w:tab/>
        <w:t>Pugna a parte recorrida pela condenação da parte recorrente em custas e honorários do advogado.</w:t>
      </w:r>
    </w:p>
    <w:bookmarkEnd w:id="0"/>
    <w:p w14:paraId="6C0B6C99" w14:textId="388C1008" w:rsidR="00862622" w:rsidRPr="0020614F" w:rsidRDefault="00862622" w:rsidP="00862622">
      <w:pPr>
        <w:pStyle w:val="Corpodetexto"/>
        <w:ind w:firstLine="1417"/>
        <w:rPr>
          <w:rFonts w:ascii="Calibri" w:eastAsiaTheme="minorEastAsia" w:hAnsi="Calibri" w:cs="Calibri"/>
          <w:lang w:eastAsia="ja-JP" w:bidi="ar-SA"/>
        </w:rPr>
      </w:pPr>
      <w:r w:rsidRPr="0020614F">
        <w:rPr>
          <w:rFonts w:ascii="Calibri" w:eastAsiaTheme="minorEastAsia" w:hAnsi="Calibri" w:cs="Calibri"/>
          <w:lang w:eastAsia="ja-JP" w:bidi="ar-SA"/>
        </w:rPr>
        <w:t xml:space="preserve">Requer a Ré que todas as intimações sejam encaminhadas ao escritório de seus patronos, sito na Rua do Passeio, 38, Torre 2, 15 andar, Sala 1509/1512 – Centro - CEP:20021-290 – RJ – Rio de Janeiro e que as publicações sejam realizadas, exclusivamente, em nome do patrono Dr. JOÃO ALVES BARBOSA FILHO, inscrito sob o nº OAB/RS 90657-A, sob pena de nulidade </w:t>
      </w:r>
      <w:proofErr w:type="gramStart"/>
      <w:r w:rsidRPr="0020614F">
        <w:rPr>
          <w:rFonts w:ascii="Calibri" w:eastAsiaTheme="minorEastAsia" w:hAnsi="Calibri" w:cs="Calibri"/>
          <w:lang w:eastAsia="ja-JP" w:bidi="ar-SA"/>
        </w:rPr>
        <w:t>das mesmas</w:t>
      </w:r>
      <w:proofErr w:type="gramEnd"/>
      <w:r w:rsidRPr="0020614F">
        <w:rPr>
          <w:rFonts w:ascii="Calibri" w:eastAsiaTheme="minorEastAsia" w:hAnsi="Calibri" w:cs="Calibri"/>
          <w:lang w:eastAsia="ja-JP" w:bidi="ar-SA"/>
        </w:rPr>
        <w:t>.</w:t>
      </w:r>
    </w:p>
    <w:p w14:paraId="18298950" w14:textId="1E3E3826" w:rsidR="00862622" w:rsidRPr="0020614F" w:rsidRDefault="00862622" w:rsidP="00862622">
      <w:pPr>
        <w:pStyle w:val="Corpodetexto"/>
        <w:ind w:left="1416" w:firstLine="1"/>
        <w:jc w:val="center"/>
        <w:rPr>
          <w:rFonts w:ascii="Calibri" w:eastAsiaTheme="minorEastAsia" w:hAnsi="Calibri" w:cs="Calibri"/>
          <w:lang w:eastAsia="ja-JP" w:bidi="ar-SA"/>
        </w:rPr>
      </w:pPr>
      <w:r w:rsidRPr="0020614F">
        <w:rPr>
          <w:rFonts w:ascii="Calibri" w:eastAsiaTheme="minorEastAsia" w:hAnsi="Calibri" w:cs="Calibri"/>
          <w:lang w:eastAsia="ja-JP" w:bidi="ar-SA"/>
        </w:rPr>
        <w:t>Nestes Termos,</w:t>
      </w:r>
      <w:r w:rsidRPr="0020614F">
        <w:rPr>
          <w:rFonts w:ascii="Calibri" w:eastAsiaTheme="minorEastAsia" w:hAnsi="Calibri" w:cs="Calibri"/>
          <w:lang w:eastAsia="ja-JP" w:bidi="ar-SA"/>
        </w:rPr>
        <w:br/>
        <w:t>Pede Deferimento,</w:t>
      </w:r>
    </w:p>
    <w:p w14:paraId="75E14D7A" w14:textId="16ADC6C2" w:rsidR="00862622" w:rsidRPr="002D5FB7" w:rsidRDefault="00886EC8" w:rsidP="00862622">
      <w:pPr>
        <w:pStyle w:val="Corpodetexto"/>
        <w:ind w:firstLine="1417"/>
        <w:jc w:val="center"/>
        <w:rPr>
          <w:rFonts w:ascii="Calibri" w:eastAsiaTheme="minorEastAsia" w:hAnsi="Calibri" w:cs="Calibri"/>
          <w:lang w:val="en-US" w:eastAsia="ja-JP" w:bidi="ar-SA"/>
        </w:rPr>
      </w:pPr>
      <w:r>
        <w:rPr>
          <w:rFonts w:ascii="Calibri" w:eastAsiaTheme="minorEastAsia" w:hAnsi="Calibri" w:cs="Calibri"/>
          <w:lang w:val="en-US" w:eastAsia="ja-JP" w:bidi="ar-SA"/>
        </w:rPr>
        <w:t>URUGUAIANA</w:t>
      </w:r>
      <w:r w:rsidR="00862622" w:rsidRPr="002D5FB7">
        <w:rPr>
          <w:rFonts w:ascii="Calibri" w:eastAsiaTheme="minorEastAsia" w:hAnsi="Calibri" w:cs="Calibri"/>
          <w:lang w:val="en-US" w:eastAsia="ja-JP" w:bidi="ar-SA"/>
        </w:rPr>
        <w:t xml:space="preserve">, </w:t>
      </w:r>
      <w:r w:rsidR="00B83EBB">
        <w:rPr>
          <w:rFonts w:ascii="Calibri" w:eastAsiaTheme="minorEastAsia" w:hAnsi="Calibri" w:cs="Calibri"/>
          <w:lang w:val="en-US" w:eastAsia="ja-JP" w:bidi="ar-SA"/>
        </w:rPr>
        <w:t>2</w:t>
      </w:r>
      <w:r>
        <w:rPr>
          <w:rFonts w:ascii="Calibri" w:eastAsiaTheme="minorEastAsia" w:hAnsi="Calibri" w:cs="Calibri"/>
          <w:lang w:val="en-US" w:eastAsia="ja-JP" w:bidi="ar-SA"/>
        </w:rPr>
        <w:t>9</w:t>
      </w:r>
      <w:r w:rsidR="00862622" w:rsidRPr="002D5FB7">
        <w:rPr>
          <w:rFonts w:ascii="Calibri" w:eastAsiaTheme="minorEastAsia" w:hAnsi="Calibri" w:cs="Calibri"/>
          <w:lang w:val="en-US" w:eastAsia="ja-JP" w:bidi="ar-SA"/>
        </w:rPr>
        <w:t xml:space="preserve"> de </w:t>
      </w:r>
      <w:proofErr w:type="spellStart"/>
      <w:r w:rsidR="00B83EBB">
        <w:rPr>
          <w:rFonts w:ascii="Calibri" w:eastAsiaTheme="minorEastAsia" w:hAnsi="Calibri" w:cs="Calibri"/>
          <w:lang w:val="en-US" w:eastAsia="ja-JP" w:bidi="ar-SA"/>
        </w:rPr>
        <w:t>Setembro</w:t>
      </w:r>
      <w:proofErr w:type="spellEnd"/>
      <w:r w:rsidR="00862622" w:rsidRPr="002D5FB7">
        <w:rPr>
          <w:rFonts w:ascii="Calibri" w:eastAsiaTheme="minorEastAsia" w:hAnsi="Calibri" w:cs="Calibri"/>
          <w:lang w:val="en-US" w:eastAsia="ja-JP" w:bidi="ar-SA"/>
        </w:rPr>
        <w:t xml:space="preserve"> de 2023.</w:t>
      </w:r>
    </w:p>
    <w:p w14:paraId="2AE38B69" w14:textId="09116481" w:rsidR="004C7639" w:rsidRPr="002D5FB7" w:rsidRDefault="00862622" w:rsidP="00862622">
      <w:pPr>
        <w:pStyle w:val="Corpodetexto"/>
        <w:ind w:left="1417"/>
        <w:jc w:val="center"/>
        <w:rPr>
          <w:rFonts w:ascii="Calibri" w:eastAsiaTheme="minorEastAsia" w:hAnsi="Calibri" w:cs="Calibri"/>
          <w:b/>
          <w:bCs/>
          <w:lang w:val="en-US" w:eastAsia="ja-JP" w:bidi="ar-SA"/>
        </w:rPr>
      </w:pPr>
      <w:r w:rsidRPr="002D5FB7">
        <w:rPr>
          <w:rFonts w:ascii="Calibri" w:eastAsiaTheme="minorEastAsia" w:hAnsi="Calibri" w:cs="Calibri"/>
          <w:b/>
          <w:bCs/>
          <w:lang w:val="en-US" w:eastAsia="ja-JP" w:bidi="ar-SA"/>
        </w:rPr>
        <w:t>JOÃO BARBOSA</w:t>
      </w:r>
      <w:r w:rsidRPr="002D5FB7">
        <w:rPr>
          <w:rFonts w:ascii="Calibri" w:eastAsiaTheme="minorEastAsia" w:hAnsi="Calibri" w:cs="Calibri"/>
          <w:b/>
          <w:bCs/>
          <w:lang w:val="en-US" w:eastAsia="ja-JP" w:bidi="ar-SA"/>
        </w:rPr>
        <w:br/>
        <w:t>OAB/RS 90657-A</w:t>
      </w:r>
    </w:p>
    <w:p w14:paraId="7A17B87E" w14:textId="77777777" w:rsidR="004C7639" w:rsidRPr="002D5FB7" w:rsidRDefault="004C7639" w:rsidP="004C7639">
      <w:pPr>
        <w:spacing w:before="200" w:after="200" w:line="240" w:lineRule="auto"/>
        <w:jc w:val="both"/>
        <w:rPr>
          <w:rFonts w:cs="Calibri"/>
          <w:sz w:val="24"/>
          <w:szCs w:val="24"/>
        </w:rPr>
      </w:pPr>
    </w:p>
    <w:p w14:paraId="60DCF190" w14:textId="0C354106" w:rsidR="00FA2C18" w:rsidRPr="002D5FB7" w:rsidRDefault="005941C5" w:rsidP="00E962C2">
      <w:pPr>
        <w:spacing w:before="200" w:after="200" w:line="240" w:lineRule="auto"/>
        <w:jc w:val="both"/>
        <w:rPr>
          <w:rFonts w:cs="Calibri"/>
          <w:sz w:val="24"/>
          <w:szCs w:val="24"/>
        </w:rPr>
      </w:pPr>
      <w:r w:rsidRPr="002D5FB7">
        <w:rPr>
          <w:rFonts w:cs="Calibri"/>
          <w:sz w:val="24"/>
          <w:szCs w:val="24"/>
        </w:rPr>
        <w:t> </w:t>
      </w:r>
    </w:p>
    <w:sectPr w:rsidR="00FA2C18" w:rsidRPr="002D5FB7" w:rsidSect="0076787A">
      <w:footerReference w:type="default" r:id="rId12"/>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B3F0" w14:textId="77777777" w:rsidR="00B36974" w:rsidRDefault="00B36974">
      <w:pPr>
        <w:spacing w:after="0" w:line="240" w:lineRule="auto"/>
      </w:pPr>
      <w:r>
        <w:separator/>
      </w:r>
    </w:p>
  </w:endnote>
  <w:endnote w:type="continuationSeparator" w:id="0">
    <w:p w14:paraId="630328E6" w14:textId="77777777" w:rsidR="00B36974" w:rsidRDefault="00B3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3502" w14:textId="77777777" w:rsidR="00FA2C18" w:rsidRDefault="005941C5" w:rsidP="00FE5317">
    <w:pPr>
      <w:pStyle w:val="Rodap"/>
      <w:jc w:val="center"/>
      <w:rPr>
        <w:sz w:val="18"/>
      </w:rPr>
    </w:pPr>
    <w:r w:rsidRPr="00FA2C18">
      <w:rPr>
        <w:sz w:val="18"/>
      </w:rPr>
      <w:t>Rua do Passeio, 38, Torre 2, 15º andar - Sala 1509/1512 – Centro - RJ – Rio de Janeiro - CEP:20021-290</w:t>
    </w:r>
  </w:p>
  <w:p w14:paraId="2F8B6DF0" w14:textId="77777777" w:rsidR="00FE5317" w:rsidRPr="00FE5317" w:rsidRDefault="005941C5" w:rsidP="00FE5317">
    <w:pPr>
      <w:pStyle w:val="Rodap"/>
      <w:jc w:val="center"/>
      <w:rPr>
        <w:sz w:val="18"/>
      </w:rPr>
    </w:pPr>
    <w:r w:rsidRPr="00FE5317">
      <w:rPr>
        <w:sz w:val="18"/>
      </w:rPr>
      <w:t>www.joaobarbosaadvass.com.br</w:t>
    </w:r>
  </w:p>
  <w:p w14:paraId="13054C5C"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C1FF" w14:textId="77777777" w:rsidR="00B36974" w:rsidRDefault="00B36974">
      <w:pPr>
        <w:spacing w:after="0" w:line="240" w:lineRule="auto"/>
      </w:pPr>
      <w:r>
        <w:separator/>
      </w:r>
    </w:p>
  </w:footnote>
  <w:footnote w:type="continuationSeparator" w:id="0">
    <w:p w14:paraId="0A9DDCCF" w14:textId="77777777" w:rsidR="00B36974" w:rsidRDefault="00B36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3EB8"/>
    <w:multiLevelType w:val="hybridMultilevel"/>
    <w:tmpl w:val="4ACCDDF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F96840"/>
    <w:multiLevelType w:val="hybridMultilevel"/>
    <w:tmpl w:val="5C246AF0"/>
    <w:lvl w:ilvl="0" w:tplc="047C5902">
      <w:start w:val="1"/>
      <w:numFmt w:val="decimal"/>
      <w:pStyle w:val="CaixaPadro"/>
      <w:lvlText w:val="%1."/>
      <w:lvlJc w:val="left"/>
      <w:pPr>
        <w:tabs>
          <w:tab w:val="num" w:pos="3839"/>
        </w:tabs>
        <w:ind w:left="3839" w:hanging="360"/>
      </w:pPr>
      <w:rPr>
        <w:rFonts w:ascii="Bookman Old Style" w:hAnsi="Bookman Old Style"/>
        <w:sz w:val="22"/>
      </w:rPr>
    </w:lvl>
    <w:lvl w:ilvl="1" w:tplc="04160019">
      <w:start w:val="1"/>
      <w:numFmt w:val="lowerLetter"/>
      <w:lvlText w:val="%2."/>
      <w:lvlJc w:val="left"/>
      <w:pPr>
        <w:tabs>
          <w:tab w:val="num" w:pos="4559"/>
        </w:tabs>
        <w:ind w:left="4559" w:hanging="360"/>
      </w:pPr>
    </w:lvl>
    <w:lvl w:ilvl="2" w:tplc="0416001B">
      <w:start w:val="1"/>
      <w:numFmt w:val="lowerRoman"/>
      <w:lvlText w:val="%3."/>
      <w:lvlJc w:val="right"/>
      <w:pPr>
        <w:tabs>
          <w:tab w:val="num" w:pos="5279"/>
        </w:tabs>
        <w:ind w:left="5279" w:hanging="180"/>
      </w:pPr>
    </w:lvl>
    <w:lvl w:ilvl="3" w:tplc="0416000F">
      <w:start w:val="1"/>
      <w:numFmt w:val="decimal"/>
      <w:lvlText w:val="%4."/>
      <w:lvlJc w:val="left"/>
      <w:pPr>
        <w:tabs>
          <w:tab w:val="num" w:pos="5999"/>
        </w:tabs>
        <w:ind w:left="5999" w:hanging="360"/>
      </w:pPr>
    </w:lvl>
    <w:lvl w:ilvl="4" w:tplc="04160019">
      <w:start w:val="1"/>
      <w:numFmt w:val="lowerLetter"/>
      <w:lvlText w:val="%5."/>
      <w:lvlJc w:val="left"/>
      <w:pPr>
        <w:tabs>
          <w:tab w:val="num" w:pos="6719"/>
        </w:tabs>
        <w:ind w:left="6719" w:hanging="360"/>
      </w:pPr>
    </w:lvl>
    <w:lvl w:ilvl="5" w:tplc="0416001B">
      <w:start w:val="1"/>
      <w:numFmt w:val="lowerRoman"/>
      <w:lvlText w:val="%6."/>
      <w:lvlJc w:val="right"/>
      <w:pPr>
        <w:tabs>
          <w:tab w:val="num" w:pos="7439"/>
        </w:tabs>
        <w:ind w:left="7439" w:hanging="180"/>
      </w:pPr>
    </w:lvl>
    <w:lvl w:ilvl="6" w:tplc="0416000F">
      <w:start w:val="1"/>
      <w:numFmt w:val="decimal"/>
      <w:lvlText w:val="%7."/>
      <w:lvlJc w:val="left"/>
      <w:pPr>
        <w:tabs>
          <w:tab w:val="num" w:pos="8159"/>
        </w:tabs>
        <w:ind w:left="8159" w:hanging="360"/>
      </w:pPr>
    </w:lvl>
    <w:lvl w:ilvl="7" w:tplc="04160019">
      <w:start w:val="1"/>
      <w:numFmt w:val="lowerLetter"/>
      <w:lvlText w:val="%8."/>
      <w:lvlJc w:val="left"/>
      <w:pPr>
        <w:tabs>
          <w:tab w:val="num" w:pos="8879"/>
        </w:tabs>
        <w:ind w:left="8879" w:hanging="360"/>
      </w:pPr>
    </w:lvl>
    <w:lvl w:ilvl="8" w:tplc="0416001B">
      <w:start w:val="1"/>
      <w:numFmt w:val="lowerRoman"/>
      <w:lvlText w:val="%9."/>
      <w:lvlJc w:val="right"/>
      <w:pPr>
        <w:tabs>
          <w:tab w:val="num" w:pos="9599"/>
        </w:tabs>
        <w:ind w:left="9599" w:hanging="180"/>
      </w:pPr>
    </w:lvl>
  </w:abstractNum>
  <w:abstractNum w:abstractNumId="2" w15:restartNumberingAfterBreak="0">
    <w:nsid w:val="327034FC"/>
    <w:multiLevelType w:val="hybridMultilevel"/>
    <w:tmpl w:val="13B6A5B4"/>
    <w:lvl w:ilvl="0" w:tplc="D70ED4AA">
      <w:start w:val="1"/>
      <w:numFmt w:val="upperRoman"/>
      <w:lvlText w:val="%1."/>
      <w:lvlJc w:val="left"/>
      <w:pPr>
        <w:ind w:left="298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CFF5FAF"/>
    <w:multiLevelType w:val="hybridMultilevel"/>
    <w:tmpl w:val="34EEE2BC"/>
    <w:lvl w:ilvl="0" w:tplc="0416000F">
      <w:start w:val="1"/>
      <w:numFmt w:val="decimal"/>
      <w:lvlText w:val="%1."/>
      <w:lvlJc w:val="left"/>
      <w:pPr>
        <w:tabs>
          <w:tab w:val="num" w:pos="2520"/>
        </w:tabs>
        <w:ind w:left="2520" w:hanging="360"/>
      </w:pPr>
    </w:lvl>
    <w:lvl w:ilvl="1" w:tplc="04160019">
      <w:start w:val="1"/>
      <w:numFmt w:val="decimal"/>
      <w:lvlText w:val="%2."/>
      <w:lvlJc w:val="left"/>
      <w:pPr>
        <w:tabs>
          <w:tab w:val="num" w:pos="3600"/>
        </w:tabs>
        <w:ind w:left="3600" w:hanging="360"/>
      </w:pPr>
    </w:lvl>
    <w:lvl w:ilvl="2" w:tplc="0416001B">
      <w:start w:val="1"/>
      <w:numFmt w:val="decimal"/>
      <w:lvlText w:val="%3."/>
      <w:lvlJc w:val="left"/>
      <w:pPr>
        <w:tabs>
          <w:tab w:val="num" w:pos="4320"/>
        </w:tabs>
        <w:ind w:left="4320" w:hanging="360"/>
      </w:pPr>
    </w:lvl>
    <w:lvl w:ilvl="3" w:tplc="0416000F">
      <w:start w:val="1"/>
      <w:numFmt w:val="decimal"/>
      <w:lvlText w:val="%4."/>
      <w:lvlJc w:val="left"/>
      <w:pPr>
        <w:tabs>
          <w:tab w:val="num" w:pos="5040"/>
        </w:tabs>
        <w:ind w:left="5040" w:hanging="360"/>
      </w:pPr>
    </w:lvl>
    <w:lvl w:ilvl="4" w:tplc="04160019">
      <w:start w:val="1"/>
      <w:numFmt w:val="decimal"/>
      <w:lvlText w:val="%5."/>
      <w:lvlJc w:val="left"/>
      <w:pPr>
        <w:tabs>
          <w:tab w:val="num" w:pos="5760"/>
        </w:tabs>
        <w:ind w:left="5760" w:hanging="360"/>
      </w:pPr>
    </w:lvl>
    <w:lvl w:ilvl="5" w:tplc="0416001B">
      <w:start w:val="1"/>
      <w:numFmt w:val="decimal"/>
      <w:lvlText w:val="%6."/>
      <w:lvlJc w:val="left"/>
      <w:pPr>
        <w:tabs>
          <w:tab w:val="num" w:pos="6480"/>
        </w:tabs>
        <w:ind w:left="6480" w:hanging="360"/>
      </w:pPr>
    </w:lvl>
    <w:lvl w:ilvl="6" w:tplc="0416000F">
      <w:start w:val="1"/>
      <w:numFmt w:val="decimal"/>
      <w:lvlText w:val="%7."/>
      <w:lvlJc w:val="left"/>
      <w:pPr>
        <w:tabs>
          <w:tab w:val="num" w:pos="7200"/>
        </w:tabs>
        <w:ind w:left="7200" w:hanging="360"/>
      </w:pPr>
    </w:lvl>
    <w:lvl w:ilvl="7" w:tplc="04160019">
      <w:start w:val="1"/>
      <w:numFmt w:val="decimal"/>
      <w:lvlText w:val="%8."/>
      <w:lvlJc w:val="left"/>
      <w:pPr>
        <w:tabs>
          <w:tab w:val="num" w:pos="7920"/>
        </w:tabs>
        <w:ind w:left="7920" w:hanging="360"/>
      </w:pPr>
    </w:lvl>
    <w:lvl w:ilvl="8" w:tplc="0416001B">
      <w:start w:val="1"/>
      <w:numFmt w:val="decimal"/>
      <w:lvlText w:val="%9."/>
      <w:lvlJc w:val="left"/>
      <w:pPr>
        <w:tabs>
          <w:tab w:val="num" w:pos="8640"/>
        </w:tabs>
        <w:ind w:left="8640" w:hanging="360"/>
      </w:pPr>
    </w:lvl>
  </w:abstractNum>
  <w:abstractNum w:abstractNumId="4" w15:restartNumberingAfterBreak="0">
    <w:nsid w:val="6B474143"/>
    <w:multiLevelType w:val="singleLevel"/>
    <w:tmpl w:val="04160017"/>
    <w:lvl w:ilvl="0">
      <w:start w:val="1"/>
      <w:numFmt w:val="lowerLetter"/>
      <w:lvlText w:val="%1)"/>
      <w:lvlJc w:val="left"/>
      <w:pPr>
        <w:tabs>
          <w:tab w:val="num" w:pos="360"/>
        </w:tabs>
        <w:ind w:left="360" w:hanging="360"/>
      </w:pPr>
    </w:lvl>
  </w:abstractNum>
  <w:abstractNum w:abstractNumId="5" w15:restartNumberingAfterBreak="0">
    <w:nsid w:val="761F53B7"/>
    <w:multiLevelType w:val="singleLevel"/>
    <w:tmpl w:val="04160017"/>
    <w:lvl w:ilvl="0">
      <w:start w:val="1"/>
      <w:numFmt w:val="lowerLetter"/>
      <w:lvlText w:val="%1)"/>
      <w:lvlJc w:val="left"/>
      <w:pPr>
        <w:tabs>
          <w:tab w:val="num" w:pos="360"/>
        </w:tabs>
        <w:ind w:left="360" w:hanging="360"/>
      </w:pPr>
    </w:lvl>
  </w:abstractNum>
  <w:num w:numId="1" w16cid:durableId="1726295237">
    <w:abstractNumId w:val="2"/>
  </w:num>
  <w:num w:numId="2" w16cid:durableId="1010985544">
    <w:abstractNumId w:val="0"/>
  </w:num>
  <w:num w:numId="3" w16cid:durableId="1021513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324274">
    <w:abstractNumId w:val="5"/>
    <w:lvlOverride w:ilvl="0">
      <w:startOverride w:val="1"/>
    </w:lvlOverride>
  </w:num>
  <w:num w:numId="5" w16cid:durableId="1924485367">
    <w:abstractNumId w:val="4"/>
    <w:lvlOverride w:ilvl="0">
      <w:startOverride w:val="1"/>
    </w:lvlOverride>
  </w:num>
  <w:num w:numId="6" w16cid:durableId="352997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13CE3"/>
    <w:rsid w:val="0004661C"/>
    <w:rsid w:val="00090C70"/>
    <w:rsid w:val="000C60A8"/>
    <w:rsid w:val="00181DE2"/>
    <w:rsid w:val="001833C2"/>
    <w:rsid w:val="001E5FCE"/>
    <w:rsid w:val="0020614F"/>
    <w:rsid w:val="00255B3C"/>
    <w:rsid w:val="00290487"/>
    <w:rsid w:val="002D5FB7"/>
    <w:rsid w:val="00320DCE"/>
    <w:rsid w:val="00326B23"/>
    <w:rsid w:val="003349B7"/>
    <w:rsid w:val="0037684E"/>
    <w:rsid w:val="00387F34"/>
    <w:rsid w:val="00396D72"/>
    <w:rsid w:val="003E11A0"/>
    <w:rsid w:val="003F5DCE"/>
    <w:rsid w:val="00404C94"/>
    <w:rsid w:val="004255B4"/>
    <w:rsid w:val="00486EBB"/>
    <w:rsid w:val="004C1027"/>
    <w:rsid w:val="004C7639"/>
    <w:rsid w:val="0052134B"/>
    <w:rsid w:val="00530F86"/>
    <w:rsid w:val="00541DE7"/>
    <w:rsid w:val="005663F9"/>
    <w:rsid w:val="005869BC"/>
    <w:rsid w:val="005941C5"/>
    <w:rsid w:val="005A5474"/>
    <w:rsid w:val="005D4224"/>
    <w:rsid w:val="005E226B"/>
    <w:rsid w:val="00654BB2"/>
    <w:rsid w:val="00673F32"/>
    <w:rsid w:val="006B5371"/>
    <w:rsid w:val="006F66E3"/>
    <w:rsid w:val="006F7A6B"/>
    <w:rsid w:val="00701612"/>
    <w:rsid w:val="0076787A"/>
    <w:rsid w:val="007A3913"/>
    <w:rsid w:val="007E1F86"/>
    <w:rsid w:val="00862622"/>
    <w:rsid w:val="00873596"/>
    <w:rsid w:val="00874FFE"/>
    <w:rsid w:val="008765E4"/>
    <w:rsid w:val="00886EC8"/>
    <w:rsid w:val="008B00C4"/>
    <w:rsid w:val="008E1AB2"/>
    <w:rsid w:val="008F4CF5"/>
    <w:rsid w:val="00956E0D"/>
    <w:rsid w:val="00965291"/>
    <w:rsid w:val="009D3C6C"/>
    <w:rsid w:val="009E3B76"/>
    <w:rsid w:val="00B36974"/>
    <w:rsid w:val="00B51EC9"/>
    <w:rsid w:val="00B83EBB"/>
    <w:rsid w:val="00C81778"/>
    <w:rsid w:val="00CA090F"/>
    <w:rsid w:val="00CC074C"/>
    <w:rsid w:val="00D4797D"/>
    <w:rsid w:val="00D545F2"/>
    <w:rsid w:val="00DA3C45"/>
    <w:rsid w:val="00DA4388"/>
    <w:rsid w:val="00DB59AA"/>
    <w:rsid w:val="00E015EA"/>
    <w:rsid w:val="00E67247"/>
    <w:rsid w:val="00E962C2"/>
    <w:rsid w:val="00EB1525"/>
    <w:rsid w:val="00EB6B0C"/>
    <w:rsid w:val="00EC3A99"/>
    <w:rsid w:val="00EE18FB"/>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94B"/>
  <w15:docId w15:val="{A173964C-702F-4378-9A92-F2209F7B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BB"/>
    <w:pPr>
      <w:spacing w:after="160" w:line="259" w:lineRule="auto"/>
    </w:pPr>
    <w:rPr>
      <w:sz w:val="22"/>
      <w:szCs w:val="22"/>
      <w:lang w:eastAsia="en-US"/>
    </w:rPr>
  </w:style>
  <w:style w:type="paragraph" w:styleId="Ttulo2">
    <w:name w:val="heading 2"/>
    <w:basedOn w:val="Normal"/>
    <w:next w:val="Corpodetexto"/>
    <w:link w:val="Ttulo2Char"/>
    <w:uiPriority w:val="9"/>
    <w:unhideWhenUsed/>
    <w:qFormat/>
    <w:rsid w:val="004C7639"/>
    <w:pPr>
      <w:keepNext/>
      <w:widowControl w:val="0"/>
      <w:suppressAutoHyphens/>
      <w:spacing w:before="397" w:after="397" w:line="360" w:lineRule="auto"/>
      <w:jc w:val="both"/>
      <w:outlineLvl w:val="1"/>
    </w:pPr>
    <w:rPr>
      <w:rFonts w:ascii="Times New Roman" w:eastAsia="Times New Roman" w:hAnsi="Times New Roman"/>
      <w:b/>
      <w:bCs/>
      <w:sz w:val="24"/>
      <w:szCs w:val="24"/>
      <w:lang w:eastAsia="zh-CN" w:bidi="hi-IN"/>
    </w:rPr>
  </w:style>
  <w:style w:type="paragraph" w:styleId="Ttulo3">
    <w:name w:val="heading 3"/>
    <w:basedOn w:val="Normal"/>
    <w:next w:val="Normal"/>
    <w:link w:val="Ttulo3Char"/>
    <w:uiPriority w:val="9"/>
    <w:semiHidden/>
    <w:unhideWhenUsed/>
    <w:qFormat/>
    <w:rsid w:val="008626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paragraph" w:styleId="NormalWeb">
    <w:name w:val="Normal (Web)"/>
    <w:basedOn w:val="Normal"/>
    <w:uiPriority w:val="99"/>
    <w:semiHidden/>
    <w:unhideWhenUsed/>
    <w:rsid w:val="005941C5"/>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8B0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4C7639"/>
    <w:rPr>
      <w:rFonts w:ascii="Times New Roman" w:eastAsia="Times New Roman" w:hAnsi="Times New Roman"/>
      <w:b/>
      <w:bCs/>
      <w:sz w:val="24"/>
      <w:szCs w:val="24"/>
      <w:lang w:eastAsia="zh-CN" w:bidi="hi-IN"/>
    </w:rPr>
  </w:style>
  <w:style w:type="paragraph" w:styleId="Corpodetexto">
    <w:name w:val="Body Text"/>
    <w:basedOn w:val="Normal"/>
    <w:link w:val="CorpodetextoChar"/>
    <w:rsid w:val="004C7639"/>
    <w:pPr>
      <w:widowControl w:val="0"/>
      <w:suppressAutoHyphens/>
      <w:spacing w:before="397" w:after="397" w:line="360" w:lineRule="auto"/>
      <w:jc w:val="both"/>
    </w:pPr>
    <w:rPr>
      <w:rFonts w:ascii="Times New Roman" w:eastAsia="Times New Roman" w:hAnsi="Times New Roman"/>
      <w:sz w:val="24"/>
      <w:szCs w:val="24"/>
      <w:lang w:eastAsia="zh-CN" w:bidi="hi-IN"/>
    </w:rPr>
  </w:style>
  <w:style w:type="character" w:customStyle="1" w:styleId="CorpodetextoChar">
    <w:name w:val="Corpo de texto Char"/>
    <w:basedOn w:val="Fontepargpadro"/>
    <w:link w:val="Corpodetexto"/>
    <w:rsid w:val="004C7639"/>
    <w:rPr>
      <w:rFonts w:ascii="Times New Roman" w:eastAsia="Times New Roman" w:hAnsi="Times New Roman"/>
      <w:sz w:val="24"/>
      <w:szCs w:val="24"/>
      <w:lang w:eastAsia="zh-CN" w:bidi="hi-IN"/>
    </w:rPr>
  </w:style>
  <w:style w:type="paragraph" w:styleId="PargrafodaLista">
    <w:name w:val="List Paragraph"/>
    <w:aliases w:val="Normal numerado"/>
    <w:basedOn w:val="Normal"/>
    <w:link w:val="PargrafodaListaChar"/>
    <w:uiPriority w:val="34"/>
    <w:qFormat/>
    <w:rsid w:val="0004661C"/>
    <w:pPr>
      <w:spacing w:after="0" w:line="240" w:lineRule="auto"/>
      <w:ind w:left="720"/>
      <w:contextualSpacing/>
    </w:pPr>
    <w:rPr>
      <w:rFonts w:asciiTheme="minorHAnsi" w:eastAsiaTheme="minorEastAsia" w:hAnsiTheme="minorHAnsi" w:cstheme="minorBidi"/>
      <w:sz w:val="24"/>
      <w:szCs w:val="24"/>
      <w:lang w:val="en-US" w:eastAsia="ja-JP"/>
    </w:rPr>
  </w:style>
  <w:style w:type="paragraph" w:styleId="Textodenotaderodap">
    <w:name w:val="footnote text"/>
    <w:basedOn w:val="Normal"/>
    <w:link w:val="TextodenotaderodapChar"/>
    <w:uiPriority w:val="99"/>
    <w:unhideWhenUsed/>
    <w:rsid w:val="0004661C"/>
    <w:pPr>
      <w:spacing w:after="0" w:line="240" w:lineRule="auto"/>
    </w:pPr>
    <w:rPr>
      <w:rFonts w:asciiTheme="minorHAnsi" w:eastAsiaTheme="minorEastAsia" w:hAnsiTheme="minorHAnsi" w:cstheme="minorBidi"/>
      <w:sz w:val="20"/>
      <w:szCs w:val="20"/>
      <w:lang w:val="en-US" w:eastAsia="ja-JP"/>
    </w:rPr>
  </w:style>
  <w:style w:type="character" w:customStyle="1" w:styleId="TextodenotaderodapChar">
    <w:name w:val="Texto de nota de rodapé Char"/>
    <w:basedOn w:val="Fontepargpadro"/>
    <w:link w:val="Textodenotaderodap"/>
    <w:uiPriority w:val="99"/>
    <w:rsid w:val="0004661C"/>
    <w:rPr>
      <w:rFonts w:asciiTheme="minorHAnsi" w:eastAsiaTheme="minorEastAsia" w:hAnsiTheme="minorHAnsi" w:cstheme="minorBidi"/>
      <w:lang w:val="en-US" w:eastAsia="ja-JP"/>
    </w:rPr>
  </w:style>
  <w:style w:type="character" w:styleId="Refdenotaderodap">
    <w:name w:val="footnote reference"/>
    <w:aliases w:val="sobrescrito,Referência de rodapé"/>
    <w:basedOn w:val="Fontepargpadro"/>
    <w:unhideWhenUsed/>
    <w:rsid w:val="0004661C"/>
    <w:rPr>
      <w:vertAlign w:val="superscript"/>
    </w:rPr>
  </w:style>
  <w:style w:type="character" w:customStyle="1" w:styleId="Ttulo3Char">
    <w:name w:val="Título 3 Char"/>
    <w:basedOn w:val="Fontepargpadro"/>
    <w:link w:val="Ttulo3"/>
    <w:semiHidden/>
    <w:rsid w:val="00862622"/>
    <w:rPr>
      <w:rFonts w:asciiTheme="majorHAnsi" w:eastAsiaTheme="majorEastAsia" w:hAnsiTheme="majorHAnsi" w:cstheme="majorBidi"/>
      <w:color w:val="243F60" w:themeColor="accent1" w:themeShade="7F"/>
      <w:sz w:val="24"/>
      <w:szCs w:val="24"/>
      <w:lang w:eastAsia="en-US"/>
    </w:rPr>
  </w:style>
  <w:style w:type="paragraph" w:styleId="Recuodecorpodetexto2">
    <w:name w:val="Body Text Indent 2"/>
    <w:basedOn w:val="Normal"/>
    <w:link w:val="Recuodecorpodetexto2Char"/>
    <w:uiPriority w:val="99"/>
    <w:semiHidden/>
    <w:unhideWhenUsed/>
    <w:rsid w:val="0020614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0614F"/>
    <w:rPr>
      <w:sz w:val="22"/>
      <w:szCs w:val="22"/>
      <w:lang w:eastAsia="en-US"/>
    </w:rPr>
  </w:style>
  <w:style w:type="character" w:customStyle="1" w:styleId="PargrafodaListaChar">
    <w:name w:val="Parágrafo da Lista Char"/>
    <w:aliases w:val="Normal numerado Char"/>
    <w:link w:val="PargrafodaLista"/>
    <w:uiPriority w:val="34"/>
    <w:locked/>
    <w:rsid w:val="0020614F"/>
    <w:rPr>
      <w:rFonts w:asciiTheme="minorHAnsi" w:eastAsiaTheme="minorEastAsia" w:hAnsiTheme="minorHAnsi" w:cstheme="minorBidi"/>
      <w:sz w:val="24"/>
      <w:szCs w:val="24"/>
      <w:lang w:val="en-US" w:eastAsia="ja-JP"/>
    </w:rPr>
  </w:style>
  <w:style w:type="paragraph" w:styleId="Recuodecorpodetexto">
    <w:name w:val="Body Text Indent"/>
    <w:basedOn w:val="Normal"/>
    <w:link w:val="RecuodecorpodetextoChar"/>
    <w:uiPriority w:val="99"/>
    <w:semiHidden/>
    <w:unhideWhenUsed/>
    <w:rsid w:val="001833C2"/>
    <w:pPr>
      <w:spacing w:after="120"/>
      <w:ind w:left="283"/>
    </w:pPr>
  </w:style>
  <w:style w:type="character" w:customStyle="1" w:styleId="RecuodecorpodetextoChar">
    <w:name w:val="Recuo de corpo de texto Char"/>
    <w:basedOn w:val="Fontepargpadro"/>
    <w:link w:val="Recuodecorpodetexto"/>
    <w:uiPriority w:val="99"/>
    <w:semiHidden/>
    <w:rsid w:val="001833C2"/>
    <w:rPr>
      <w:sz w:val="22"/>
      <w:szCs w:val="22"/>
      <w:lang w:eastAsia="en-US"/>
    </w:rPr>
  </w:style>
  <w:style w:type="paragraph" w:styleId="Recuodecorpodetexto3">
    <w:name w:val="Body Text Indent 3"/>
    <w:basedOn w:val="Normal"/>
    <w:link w:val="Recuodecorpodetexto3Char"/>
    <w:uiPriority w:val="99"/>
    <w:semiHidden/>
    <w:unhideWhenUsed/>
    <w:rsid w:val="001833C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833C2"/>
    <w:rPr>
      <w:sz w:val="16"/>
      <w:szCs w:val="16"/>
      <w:lang w:eastAsia="en-US"/>
    </w:rPr>
  </w:style>
  <w:style w:type="paragraph" w:styleId="Textoembloco">
    <w:name w:val="Block Text"/>
    <w:basedOn w:val="Normal"/>
    <w:rsid w:val="001833C2"/>
    <w:pPr>
      <w:spacing w:after="0" w:line="240" w:lineRule="auto"/>
      <w:ind w:left="1080" w:right="393"/>
      <w:jc w:val="both"/>
    </w:pPr>
    <w:rPr>
      <w:rFonts w:ascii="Courier New" w:eastAsia="Arial Unicode MS" w:hAnsi="Courier New" w:cs="Courier New"/>
      <w:b/>
      <w:bCs/>
      <w:lang w:eastAsia="pt-BR"/>
    </w:rPr>
  </w:style>
  <w:style w:type="paragraph" w:customStyle="1" w:styleId="CaixaPadro">
    <w:name w:val="Caixa Padrão"/>
    <w:basedOn w:val="Normal"/>
    <w:rsid w:val="004255B4"/>
    <w:pPr>
      <w:numPr>
        <w:numId w:val="6"/>
      </w:numPr>
      <w:spacing w:after="0" w:line="360" w:lineRule="auto"/>
      <w:jc w:val="both"/>
    </w:pPr>
    <w:rPr>
      <w:rFonts w:ascii="Bookman Old Style" w:eastAsia="Times New Roman" w:hAnsi="Bookman Old Style"/>
      <w:szCs w:val="20"/>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675">
      <w:bodyDiv w:val="1"/>
      <w:marLeft w:val="0"/>
      <w:marRight w:val="0"/>
      <w:marTop w:val="0"/>
      <w:marBottom w:val="0"/>
      <w:divBdr>
        <w:top w:val="none" w:sz="0" w:space="0" w:color="auto"/>
        <w:left w:val="none" w:sz="0" w:space="0" w:color="auto"/>
        <w:bottom w:val="none" w:sz="0" w:space="0" w:color="auto"/>
        <w:right w:val="none" w:sz="0" w:space="0" w:color="auto"/>
      </w:divBdr>
    </w:div>
    <w:div w:id="238296644">
      <w:bodyDiv w:val="1"/>
      <w:marLeft w:val="0"/>
      <w:marRight w:val="0"/>
      <w:marTop w:val="0"/>
      <w:marBottom w:val="0"/>
      <w:divBdr>
        <w:top w:val="none" w:sz="0" w:space="0" w:color="auto"/>
        <w:left w:val="none" w:sz="0" w:space="0" w:color="auto"/>
        <w:bottom w:val="none" w:sz="0" w:space="0" w:color="auto"/>
        <w:right w:val="none" w:sz="0" w:space="0" w:color="auto"/>
      </w:divBdr>
    </w:div>
    <w:div w:id="554700837">
      <w:bodyDiv w:val="1"/>
      <w:marLeft w:val="0"/>
      <w:marRight w:val="0"/>
      <w:marTop w:val="0"/>
      <w:marBottom w:val="0"/>
      <w:divBdr>
        <w:top w:val="none" w:sz="0" w:space="0" w:color="auto"/>
        <w:left w:val="none" w:sz="0" w:space="0" w:color="auto"/>
        <w:bottom w:val="none" w:sz="0" w:space="0" w:color="auto"/>
        <w:right w:val="none" w:sz="0" w:space="0" w:color="auto"/>
      </w:divBdr>
    </w:div>
    <w:div w:id="70367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1692</Words>
  <Characters>9138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2</cp:revision>
  <dcterms:created xsi:type="dcterms:W3CDTF">2023-09-29T21:19:00Z</dcterms:created>
  <dcterms:modified xsi:type="dcterms:W3CDTF">2023-09-29T21:19:00Z</dcterms:modified>
</cp:coreProperties>
</file>