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95E83" w14:textId="720C451D" w:rsidR="00DA4388" w:rsidRDefault="00DA4388" w:rsidP="00396D72">
      <w:pPr>
        <w:spacing w:after="200" w:line="240" w:lineRule="auto"/>
        <w:ind w:right="426"/>
        <w:jc w:val="right"/>
        <w:rPr>
          <w:rFonts w:cs="Calibri"/>
          <w:sz w:val="20"/>
          <w:szCs w:val="20"/>
        </w:rPr>
      </w:pP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DA4388" w14:paraId="55EFB4E8" w14:textId="77777777">
        <w:trPr>
          <w:tblCellSpacing w:w="0" w:type="dxa"/>
        </w:trPr>
        <w:tc>
          <w:tcPr>
            <w:tcW w:w="0" w:type="auto"/>
            <w:tcMar>
              <w:top w:w="0" w:type="dxa"/>
              <w:left w:w="0" w:type="dxa"/>
              <w:bottom w:w="0" w:type="dxa"/>
              <w:right w:w="0" w:type="dxa"/>
            </w:tcMar>
            <w:vAlign w:val="center"/>
            <w:hideMark/>
          </w:tcPr>
          <w:p w14:paraId="191BAE05" w14:textId="77777777" w:rsidR="00DA4388" w:rsidRDefault="005941C5" w:rsidP="00396D72">
            <w:pPr>
              <w:spacing w:after="0" w:line="240" w:lineRule="auto"/>
              <w:ind w:right="426"/>
              <w:jc w:val="center"/>
              <w:rPr>
                <w:rFonts w:cs="Calibri"/>
                <w:color w:val="000000"/>
                <w:sz w:val="24"/>
                <w:szCs w:val="24"/>
              </w:rPr>
            </w:pPr>
            <w:r>
              <w:rPr>
                <w:rFonts w:cs="Calibri"/>
                <w:noProof/>
                <w:color w:val="000000"/>
                <w:sz w:val="24"/>
                <w:szCs w:val="24"/>
                <w:lang w:eastAsia="pt-BR"/>
              </w:rPr>
              <w:drawing>
                <wp:inline distT="0" distB="0" distL="0" distR="0" wp14:anchorId="172C136E" wp14:editId="10F22EF1">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67FBFFDF" w14:textId="77777777" w:rsidR="00DA4388" w:rsidRDefault="005941C5" w:rsidP="00396D72">
      <w:pPr>
        <w:spacing w:after="200" w:line="240" w:lineRule="auto"/>
        <w:ind w:right="426"/>
        <w:jc w:val="both"/>
        <w:rPr>
          <w:rFonts w:cs="Calibri"/>
          <w:sz w:val="20"/>
          <w:szCs w:val="20"/>
        </w:rPr>
      </w:pPr>
      <w:r>
        <w:rPr>
          <w:rFonts w:cs="Calibri"/>
          <w:sz w:val="20"/>
          <w:szCs w:val="20"/>
        </w:rPr>
        <w:t> </w:t>
      </w:r>
    </w:p>
    <w:p w14:paraId="4993F4D0" w14:textId="77777777" w:rsidR="00DA4388" w:rsidRDefault="005941C5" w:rsidP="00396D72">
      <w:pPr>
        <w:spacing w:before="200" w:after="200" w:line="240" w:lineRule="auto"/>
        <w:ind w:right="426"/>
        <w:jc w:val="both"/>
        <w:rPr>
          <w:rFonts w:cs="Calibri"/>
          <w:sz w:val="20"/>
          <w:szCs w:val="20"/>
        </w:rPr>
      </w:pPr>
      <w:r>
        <w:rPr>
          <w:rFonts w:cs="Calibri"/>
          <w:sz w:val="20"/>
          <w:szCs w:val="20"/>
        </w:rPr>
        <w:t> </w:t>
      </w:r>
    </w:p>
    <w:p w14:paraId="4C23B17E" w14:textId="77777777" w:rsidR="00DA4388" w:rsidRDefault="005941C5" w:rsidP="00396D72">
      <w:pPr>
        <w:spacing w:before="200" w:after="200" w:line="240" w:lineRule="auto"/>
        <w:ind w:right="426"/>
        <w:jc w:val="both"/>
        <w:rPr>
          <w:rFonts w:cs="Calibri"/>
          <w:sz w:val="20"/>
          <w:szCs w:val="20"/>
        </w:rPr>
      </w:pPr>
      <w:r>
        <w:rPr>
          <w:rFonts w:cs="Calibri"/>
          <w:sz w:val="20"/>
          <w:szCs w:val="20"/>
        </w:rPr>
        <w:t> </w:t>
      </w:r>
    </w:p>
    <w:p w14:paraId="105D1820" w14:textId="77777777" w:rsidR="00DA4388" w:rsidRDefault="005941C5" w:rsidP="00396D72">
      <w:pPr>
        <w:spacing w:before="200" w:after="200" w:line="240" w:lineRule="auto"/>
        <w:ind w:right="426"/>
        <w:jc w:val="center"/>
        <w:rPr>
          <w:rFonts w:cs="Calibri"/>
          <w:sz w:val="20"/>
          <w:szCs w:val="20"/>
        </w:rPr>
      </w:pPr>
      <w:r>
        <w:rPr>
          <w:rFonts w:cs="Calibri"/>
          <w:sz w:val="20"/>
          <w:szCs w:val="20"/>
        </w:rPr>
        <w:t> </w:t>
      </w:r>
    </w:p>
    <w:p w14:paraId="5E7345EF" w14:textId="77777777" w:rsidR="00DA4388" w:rsidRPr="003E11A0" w:rsidRDefault="005941C5" w:rsidP="00396D72">
      <w:pPr>
        <w:spacing w:before="200" w:after="200" w:line="240" w:lineRule="auto"/>
        <w:ind w:right="426"/>
        <w:jc w:val="both"/>
        <w:rPr>
          <w:rFonts w:cs="Calibri"/>
        </w:rPr>
      </w:pPr>
      <w:r w:rsidRPr="003E11A0">
        <w:rPr>
          <w:rFonts w:cs="Calibri"/>
        </w:rPr>
        <w:t> </w:t>
      </w:r>
    </w:p>
    <w:p w14:paraId="074ED884" w14:textId="77777777" w:rsidR="00DA4388" w:rsidRPr="003E11A0" w:rsidRDefault="005941C5" w:rsidP="00396D72">
      <w:pPr>
        <w:spacing w:before="200" w:after="200" w:line="240" w:lineRule="auto"/>
        <w:ind w:right="426"/>
        <w:jc w:val="both"/>
        <w:rPr>
          <w:rFonts w:cs="Calibri"/>
        </w:rPr>
      </w:pPr>
      <w:r w:rsidRPr="003E11A0">
        <w:rPr>
          <w:rFonts w:cs="Calibri"/>
        </w:rPr>
        <w:t> </w:t>
      </w:r>
    </w:p>
    <w:p w14:paraId="2BD948F8" w14:textId="44923A41" w:rsidR="00220179" w:rsidRDefault="00220179" w:rsidP="00220179">
      <w:pPr>
        <w:spacing w:before="200" w:after="200" w:line="240" w:lineRule="auto"/>
        <w:rPr>
          <w:rFonts w:cs="Calibri"/>
          <w:b/>
          <w:bCs/>
        </w:rPr>
      </w:pPr>
      <w:r>
        <w:rPr>
          <w:rFonts w:cs="Calibri"/>
          <w:b/>
          <w:bCs/>
        </w:rPr>
        <w:t xml:space="preserve">EXMO. SR. DR. JUIZ FEDERAL DA </w:t>
      </w:r>
      <w:r>
        <w:rPr>
          <w:rFonts w:cs="Calibri"/>
          <w:b/>
          <w:bCs/>
        </w:rPr>
        <w:t>1</w:t>
      </w:r>
      <w:r>
        <w:rPr>
          <w:rFonts w:cs="Calibri"/>
          <w:b/>
          <w:bCs/>
        </w:rPr>
        <w:t xml:space="preserve">ª VARA FEDERAL DA SUBSEÇÃO JUDICIÁRIA DE </w:t>
      </w:r>
      <w:r>
        <w:rPr>
          <w:rFonts w:cs="Calibri"/>
          <w:b/>
          <w:bCs/>
        </w:rPr>
        <w:t>LAJEADO</w:t>
      </w:r>
      <w:r>
        <w:rPr>
          <w:rFonts w:cs="Calibri"/>
          <w:b/>
          <w:bCs/>
        </w:rPr>
        <w:t xml:space="preserve"> DA SEÇÃO JUDICIÁRIA DO RIO GRANDE DO SUL</w:t>
      </w:r>
    </w:p>
    <w:p w14:paraId="68F3FC25" w14:textId="1E688C41" w:rsidR="00DA4388" w:rsidRDefault="005941C5" w:rsidP="00220179">
      <w:pPr>
        <w:spacing w:before="200" w:after="200" w:line="240" w:lineRule="auto"/>
        <w:ind w:right="426"/>
        <w:jc w:val="both"/>
        <w:rPr>
          <w:rFonts w:asciiTheme="minorHAnsi" w:hAnsiTheme="minorHAnsi" w:cstheme="minorHAnsi"/>
        </w:rPr>
      </w:pPr>
      <w:r w:rsidRPr="002246D0">
        <w:rPr>
          <w:rFonts w:asciiTheme="minorHAnsi" w:hAnsiTheme="minorHAnsi" w:cstheme="minorHAnsi"/>
        </w:rPr>
        <w:t> </w:t>
      </w:r>
    </w:p>
    <w:p w14:paraId="2496D9BA" w14:textId="77777777" w:rsidR="00220179" w:rsidRPr="00220179" w:rsidRDefault="00220179" w:rsidP="00220179">
      <w:pPr>
        <w:spacing w:before="200" w:after="200" w:line="240" w:lineRule="auto"/>
        <w:ind w:right="426"/>
        <w:jc w:val="both"/>
        <w:rPr>
          <w:rFonts w:asciiTheme="minorHAnsi" w:hAnsiTheme="minorHAnsi" w:cstheme="minorHAnsi"/>
          <w:b/>
          <w:bCs/>
        </w:rPr>
      </w:pPr>
    </w:p>
    <w:p w14:paraId="731D17CA" w14:textId="012FC375" w:rsidR="00DA4388" w:rsidRPr="002246D0" w:rsidRDefault="005941C5" w:rsidP="00551589">
      <w:pPr>
        <w:spacing w:before="200" w:after="200" w:line="240" w:lineRule="auto"/>
        <w:ind w:right="426"/>
        <w:jc w:val="both"/>
        <w:rPr>
          <w:rFonts w:asciiTheme="minorHAnsi" w:hAnsiTheme="minorHAnsi" w:cstheme="minorHAnsi"/>
          <w:b/>
          <w:bCs/>
        </w:rPr>
      </w:pPr>
      <w:r w:rsidRPr="002246D0">
        <w:rPr>
          <w:rFonts w:asciiTheme="minorHAnsi" w:hAnsiTheme="minorHAnsi" w:cstheme="minorHAnsi"/>
          <w:b/>
          <w:bCs/>
        </w:rPr>
        <w:t xml:space="preserve">Processo: </w:t>
      </w:r>
      <w:r w:rsidR="00220179" w:rsidRPr="00220179">
        <w:rPr>
          <w:rFonts w:asciiTheme="minorHAnsi" w:hAnsiTheme="minorHAnsi" w:cstheme="minorHAnsi"/>
          <w:b/>
          <w:bCs/>
        </w:rPr>
        <w:t xml:space="preserve">5000648-35.2023.4.04.7114 </w:t>
      </w:r>
      <w:r w:rsidR="003C3A10" w:rsidRPr="003C3A10">
        <w:rPr>
          <w:rFonts w:asciiTheme="minorHAnsi" w:hAnsiTheme="minorHAnsi" w:cstheme="minorHAnsi"/>
          <w:b/>
          <w:bCs/>
        </w:rPr>
        <w:t>/RS</w:t>
      </w:r>
    </w:p>
    <w:p w14:paraId="70D5ED8D" w14:textId="02388A3B" w:rsidR="005941C5" w:rsidRPr="002246D0" w:rsidRDefault="00220179" w:rsidP="00396D72">
      <w:pPr>
        <w:spacing w:before="200" w:after="200" w:line="240" w:lineRule="auto"/>
        <w:ind w:right="426"/>
        <w:jc w:val="both"/>
        <w:rPr>
          <w:rFonts w:asciiTheme="minorHAnsi" w:hAnsiTheme="minorHAnsi" w:cstheme="minorHAnsi"/>
        </w:rPr>
      </w:pPr>
      <w:r>
        <w:rPr>
          <w:rFonts w:asciiTheme="minorHAnsi" w:hAnsiTheme="minorHAnsi" w:cstheme="minorHAnsi"/>
        </w:rPr>
        <w:t xml:space="preserve"> </w:t>
      </w:r>
    </w:p>
    <w:p w14:paraId="70112798" w14:textId="2E14A2B2" w:rsidR="008F4CF5" w:rsidRPr="002246D0" w:rsidRDefault="005941C5" w:rsidP="00396D72">
      <w:pPr>
        <w:spacing w:line="320" w:lineRule="exact"/>
        <w:ind w:right="426" w:firstLine="1440"/>
        <w:jc w:val="both"/>
        <w:rPr>
          <w:rFonts w:asciiTheme="minorHAnsi" w:hAnsiTheme="minorHAnsi" w:cstheme="minorHAnsi"/>
        </w:rPr>
      </w:pPr>
      <w:r w:rsidRPr="002246D0">
        <w:rPr>
          <w:rFonts w:asciiTheme="minorHAnsi" w:hAnsiTheme="minorHAnsi" w:cstheme="minorHAnsi"/>
          <w:b/>
          <w:bCs/>
        </w:rPr>
        <w:t>                  CAIXA ECONOMICA FEDERAL</w:t>
      </w:r>
      <w:r w:rsidRPr="002246D0">
        <w:rPr>
          <w:rFonts w:asciiTheme="minorHAnsi" w:hAnsiTheme="minorHAnsi" w:cstheme="minorHAnsi"/>
        </w:rPr>
        <w:t xml:space="preserve">, previamente qualificada nos autos do processo em epígrafe, neste ato, representada por seus advogados que </w:t>
      </w:r>
      <w:proofErr w:type="gramStart"/>
      <w:r w:rsidRPr="002246D0">
        <w:rPr>
          <w:rFonts w:asciiTheme="minorHAnsi" w:hAnsiTheme="minorHAnsi" w:cstheme="minorHAnsi"/>
        </w:rPr>
        <w:t>esta subscrevem</w:t>
      </w:r>
      <w:proofErr w:type="gramEnd"/>
      <w:r w:rsidRPr="002246D0">
        <w:rPr>
          <w:rFonts w:asciiTheme="minorHAnsi" w:hAnsiTheme="minorHAnsi" w:cstheme="minorHAnsi"/>
        </w:rPr>
        <w:t xml:space="preserve">, nos autos da </w:t>
      </w:r>
      <w:r w:rsidR="00220179" w:rsidRPr="00220179">
        <w:rPr>
          <w:rFonts w:asciiTheme="minorHAnsi" w:hAnsiTheme="minorHAnsi" w:cstheme="minorHAnsi"/>
          <w:b/>
          <w:bCs/>
          <w:i/>
          <w:iCs/>
        </w:rPr>
        <w:t>AÇÃO INDENIZATÓRIA DE DANOS MATERIAIS E MORAIS POR ATRASO EM ENTREGA DE IMÓVEL</w:t>
      </w:r>
      <w:r w:rsidRPr="002246D0">
        <w:rPr>
          <w:rFonts w:asciiTheme="minorHAnsi" w:hAnsiTheme="minorHAnsi" w:cstheme="minorHAnsi"/>
          <w:b/>
          <w:bCs/>
          <w:i/>
          <w:iCs/>
        </w:rPr>
        <w:t xml:space="preserve">, </w:t>
      </w:r>
      <w:r w:rsidRPr="002246D0">
        <w:rPr>
          <w:rFonts w:asciiTheme="minorHAnsi" w:hAnsiTheme="minorHAnsi" w:cstheme="minorHAnsi"/>
        </w:rPr>
        <w:t xml:space="preserve">que lhe promove </w:t>
      </w:r>
      <w:r w:rsidR="00220179" w:rsidRPr="00220179">
        <w:rPr>
          <w:rFonts w:asciiTheme="minorHAnsi" w:hAnsiTheme="minorHAnsi" w:cstheme="minorHAnsi"/>
          <w:b/>
          <w:bCs/>
        </w:rPr>
        <w:t>ANALICE DE CASTRO</w:t>
      </w:r>
      <w:r w:rsidR="00320DCE" w:rsidRPr="002246D0">
        <w:rPr>
          <w:rFonts w:asciiTheme="minorHAnsi" w:hAnsiTheme="minorHAnsi" w:cstheme="minorHAnsi"/>
          <w:b/>
          <w:bCs/>
        </w:rPr>
        <w:t xml:space="preserve">, </w:t>
      </w:r>
      <w:r w:rsidR="00E962C2" w:rsidRPr="002246D0">
        <w:rPr>
          <w:rFonts w:asciiTheme="minorHAnsi" w:hAnsiTheme="minorHAnsi" w:cstheme="minorHAnsi"/>
        </w:rPr>
        <w:t xml:space="preserve">vem, por seus advogados abaixo assinados, em atenção ao </w:t>
      </w:r>
      <w:r w:rsidR="009313CE" w:rsidRPr="002246D0">
        <w:rPr>
          <w:rFonts w:asciiTheme="minorHAnsi" w:hAnsiTheme="minorHAnsi" w:cstheme="minorHAnsi"/>
        </w:rPr>
        <w:t>recurso interposto pela parte autora</w:t>
      </w:r>
      <w:r w:rsidR="00E962C2" w:rsidRPr="002246D0">
        <w:rPr>
          <w:rFonts w:asciiTheme="minorHAnsi" w:hAnsiTheme="minorHAnsi" w:cstheme="minorHAnsi"/>
        </w:rPr>
        <w:t>,</w:t>
      </w:r>
      <w:r w:rsidR="00320DCE" w:rsidRPr="002246D0">
        <w:rPr>
          <w:rFonts w:asciiTheme="minorHAnsi" w:hAnsiTheme="minorHAnsi" w:cstheme="minorHAnsi"/>
        </w:rPr>
        <w:t xml:space="preserve"> pelas razões e fundamentos a seguir expostos,</w:t>
      </w:r>
      <w:r w:rsidR="004C7639" w:rsidRPr="002246D0">
        <w:rPr>
          <w:rFonts w:asciiTheme="minorHAnsi" w:hAnsiTheme="minorHAnsi" w:cstheme="minorHAnsi"/>
        </w:rPr>
        <w:t xml:space="preserve"> apresentar suas:</w:t>
      </w:r>
    </w:p>
    <w:p w14:paraId="7FFA8188" w14:textId="1A2514F7" w:rsidR="004C7639" w:rsidRPr="002246D0" w:rsidRDefault="00220179" w:rsidP="00396D72">
      <w:pPr>
        <w:spacing w:line="320" w:lineRule="exact"/>
        <w:ind w:right="426" w:firstLine="1440"/>
        <w:jc w:val="both"/>
        <w:rPr>
          <w:rFonts w:asciiTheme="minorHAnsi" w:hAnsiTheme="minorHAnsi" w:cstheme="minorHAnsi"/>
        </w:rPr>
      </w:pPr>
      <w:r>
        <w:rPr>
          <w:rFonts w:asciiTheme="minorHAnsi" w:hAnsiTheme="minorHAnsi" w:cstheme="minorHAnsi"/>
        </w:rPr>
        <w:t xml:space="preserve"> </w:t>
      </w:r>
    </w:p>
    <w:p w14:paraId="16E734CD" w14:textId="2FED3901" w:rsidR="004C7639" w:rsidRPr="002246D0" w:rsidRDefault="004C7639" w:rsidP="00396D72">
      <w:pPr>
        <w:spacing w:line="320" w:lineRule="exact"/>
        <w:ind w:right="426" w:firstLine="1440"/>
        <w:jc w:val="center"/>
        <w:rPr>
          <w:rFonts w:asciiTheme="minorHAnsi" w:hAnsiTheme="minorHAnsi" w:cstheme="minorHAnsi"/>
          <w:b/>
          <w:bCs/>
          <w:u w:val="single"/>
        </w:rPr>
      </w:pPr>
      <w:r w:rsidRPr="002246D0">
        <w:rPr>
          <w:rFonts w:asciiTheme="minorHAnsi" w:hAnsiTheme="minorHAnsi" w:cstheme="minorHAnsi"/>
          <w:b/>
          <w:bCs/>
          <w:u w:val="single"/>
        </w:rPr>
        <w:t xml:space="preserve">CONTRARRAZÕES AO </w:t>
      </w:r>
      <w:r w:rsidR="00220179" w:rsidRPr="00220179">
        <w:rPr>
          <w:rFonts w:asciiTheme="minorHAnsi" w:hAnsiTheme="minorHAnsi" w:cstheme="minorHAnsi"/>
          <w:b/>
          <w:bCs/>
          <w:u w:val="single"/>
        </w:rPr>
        <w:t>PEDIDO DE UNIFORMIZAÇÃO DE JURISPRUDÊNCIA PARA A TURMA NACIONAL</w:t>
      </w:r>
    </w:p>
    <w:p w14:paraId="11F6A7B2" w14:textId="77777777" w:rsidR="00673F32" w:rsidRPr="002246D0" w:rsidRDefault="00673F32" w:rsidP="00396D72">
      <w:pPr>
        <w:spacing w:before="200" w:after="200" w:line="240" w:lineRule="auto"/>
        <w:ind w:right="426" w:firstLine="708"/>
        <w:jc w:val="both"/>
        <w:rPr>
          <w:rFonts w:asciiTheme="minorHAnsi" w:hAnsiTheme="minorHAnsi" w:cstheme="minorHAnsi"/>
        </w:rPr>
      </w:pPr>
    </w:p>
    <w:p w14:paraId="594E35BC" w14:textId="246A0880" w:rsidR="009313CE" w:rsidRPr="002246D0" w:rsidRDefault="009313CE" w:rsidP="009313CE">
      <w:pPr>
        <w:spacing w:before="200" w:after="200" w:line="240" w:lineRule="auto"/>
        <w:ind w:right="426" w:firstLine="708"/>
        <w:jc w:val="both"/>
        <w:rPr>
          <w:rFonts w:asciiTheme="minorHAnsi" w:hAnsiTheme="minorHAnsi" w:cstheme="minorHAnsi"/>
        </w:rPr>
      </w:pPr>
      <w:r w:rsidRPr="002246D0">
        <w:rPr>
          <w:rFonts w:asciiTheme="minorHAnsi" w:hAnsiTheme="minorHAnsi" w:cstheme="minorHAnsi"/>
        </w:rPr>
        <w:t xml:space="preserve">Pelo que requer seja negado provimento ao recurso interposto, haja vista </w:t>
      </w:r>
      <w:r w:rsidR="001F73C4" w:rsidRPr="002246D0">
        <w:rPr>
          <w:rFonts w:asciiTheme="minorHAnsi" w:hAnsiTheme="minorHAnsi" w:cstheme="minorHAnsi"/>
        </w:rPr>
        <w:t>os motivos abaixo apresentados</w:t>
      </w:r>
      <w:r w:rsidRPr="002246D0">
        <w:rPr>
          <w:rFonts w:asciiTheme="minorHAnsi" w:hAnsiTheme="minorHAnsi" w:cstheme="minorHAnsi"/>
        </w:rPr>
        <w:t>.</w:t>
      </w:r>
      <w:r w:rsidR="00220179">
        <w:rPr>
          <w:rFonts w:asciiTheme="minorHAnsi" w:hAnsiTheme="minorHAnsi" w:cstheme="minorHAnsi"/>
        </w:rPr>
        <w:t xml:space="preserve"> </w:t>
      </w:r>
    </w:p>
    <w:p w14:paraId="26FF2D3A" w14:textId="60614855" w:rsidR="004C7639" w:rsidRPr="002246D0" w:rsidRDefault="004C7639" w:rsidP="00396D72">
      <w:pPr>
        <w:spacing w:before="200" w:after="200" w:line="240" w:lineRule="auto"/>
        <w:ind w:right="426" w:firstLine="708"/>
        <w:jc w:val="both"/>
        <w:rPr>
          <w:rFonts w:asciiTheme="minorHAnsi" w:hAnsiTheme="minorHAnsi" w:cstheme="minorHAnsi"/>
        </w:rPr>
      </w:pPr>
    </w:p>
    <w:p w14:paraId="0F20BDBF" w14:textId="77777777" w:rsidR="004C7639" w:rsidRPr="002246D0" w:rsidRDefault="004C7639" w:rsidP="00396D72">
      <w:pPr>
        <w:spacing w:before="200" w:after="200" w:line="240" w:lineRule="auto"/>
        <w:ind w:right="426" w:firstLine="708"/>
        <w:jc w:val="both"/>
        <w:rPr>
          <w:rFonts w:asciiTheme="minorHAnsi" w:hAnsiTheme="minorHAnsi" w:cstheme="minorHAnsi"/>
        </w:rPr>
      </w:pPr>
    </w:p>
    <w:p w14:paraId="2967B07C" w14:textId="2D4F23BB" w:rsidR="005941C5" w:rsidRPr="002246D0" w:rsidRDefault="005941C5" w:rsidP="00396D72">
      <w:pPr>
        <w:spacing w:before="200" w:after="200" w:line="240" w:lineRule="auto"/>
        <w:ind w:right="426"/>
        <w:jc w:val="center"/>
        <w:rPr>
          <w:rFonts w:asciiTheme="minorHAnsi" w:hAnsiTheme="minorHAnsi" w:cstheme="minorHAnsi"/>
        </w:rPr>
      </w:pPr>
      <w:r w:rsidRPr="002246D0">
        <w:rPr>
          <w:rFonts w:asciiTheme="minorHAnsi" w:hAnsiTheme="minorHAnsi" w:cstheme="minorHAnsi"/>
        </w:rPr>
        <w:t>Nestes Termos,</w:t>
      </w:r>
      <w:r w:rsidRPr="002246D0">
        <w:rPr>
          <w:rFonts w:asciiTheme="minorHAnsi" w:hAnsiTheme="minorHAnsi" w:cstheme="minorHAnsi"/>
        </w:rPr>
        <w:br/>
        <w:t> Pede Deferimento,</w:t>
      </w:r>
    </w:p>
    <w:p w14:paraId="4BA3427B" w14:textId="5DE1522E" w:rsidR="008B00C4" w:rsidRPr="002246D0" w:rsidRDefault="005941C5" w:rsidP="00396D72">
      <w:pPr>
        <w:spacing w:before="200" w:after="200" w:line="240" w:lineRule="auto"/>
        <w:ind w:right="426"/>
        <w:jc w:val="center"/>
        <w:rPr>
          <w:rFonts w:asciiTheme="minorHAnsi" w:hAnsiTheme="minorHAnsi" w:cstheme="minorHAnsi"/>
        </w:rPr>
      </w:pPr>
      <w:r w:rsidRPr="002246D0">
        <w:rPr>
          <w:rFonts w:asciiTheme="minorHAnsi" w:hAnsiTheme="minorHAnsi" w:cstheme="minorHAnsi"/>
        </w:rPr>
        <w:br/>
      </w:r>
      <w:r w:rsidR="00220179">
        <w:rPr>
          <w:rFonts w:asciiTheme="minorHAnsi" w:hAnsiTheme="minorHAnsi" w:cstheme="minorHAnsi"/>
        </w:rPr>
        <w:t>Lajeado</w:t>
      </w:r>
      <w:r w:rsidRPr="002246D0">
        <w:rPr>
          <w:rFonts w:asciiTheme="minorHAnsi" w:hAnsiTheme="minorHAnsi" w:cstheme="minorHAnsi"/>
        </w:rPr>
        <w:t xml:space="preserve">, </w:t>
      </w:r>
      <w:r w:rsidR="00220179">
        <w:rPr>
          <w:rFonts w:asciiTheme="minorHAnsi" w:hAnsiTheme="minorHAnsi" w:cstheme="minorHAnsi"/>
        </w:rPr>
        <w:t>11</w:t>
      </w:r>
      <w:r w:rsidR="004C7639" w:rsidRPr="002246D0">
        <w:rPr>
          <w:rFonts w:asciiTheme="minorHAnsi" w:hAnsiTheme="minorHAnsi" w:cstheme="minorHAnsi"/>
        </w:rPr>
        <w:t xml:space="preserve"> </w:t>
      </w:r>
      <w:r w:rsidRPr="002246D0">
        <w:rPr>
          <w:rFonts w:asciiTheme="minorHAnsi" w:hAnsiTheme="minorHAnsi" w:cstheme="minorHAnsi"/>
        </w:rPr>
        <w:t xml:space="preserve">de </w:t>
      </w:r>
      <w:proofErr w:type="gramStart"/>
      <w:r w:rsidR="00220179">
        <w:rPr>
          <w:rFonts w:asciiTheme="minorHAnsi" w:hAnsiTheme="minorHAnsi" w:cstheme="minorHAnsi"/>
        </w:rPr>
        <w:t>Març</w:t>
      </w:r>
      <w:r w:rsidR="003C3A10">
        <w:rPr>
          <w:rFonts w:asciiTheme="minorHAnsi" w:hAnsiTheme="minorHAnsi" w:cstheme="minorHAnsi"/>
        </w:rPr>
        <w:t>o</w:t>
      </w:r>
      <w:proofErr w:type="gramEnd"/>
      <w:r w:rsidRPr="002246D0">
        <w:rPr>
          <w:rFonts w:asciiTheme="minorHAnsi" w:hAnsiTheme="minorHAnsi" w:cstheme="minorHAnsi"/>
        </w:rPr>
        <w:t xml:space="preserve"> de 202</w:t>
      </w:r>
      <w:r w:rsidR="00220179">
        <w:rPr>
          <w:rFonts w:asciiTheme="minorHAnsi" w:hAnsiTheme="minorHAnsi" w:cstheme="minorHAnsi"/>
        </w:rPr>
        <w:t>4</w:t>
      </w:r>
      <w:r w:rsidRPr="002246D0">
        <w:rPr>
          <w:rFonts w:asciiTheme="minorHAnsi" w:hAnsiTheme="minorHAnsi" w:cstheme="minorHAnsi"/>
        </w:rPr>
        <w:t>.</w:t>
      </w:r>
    </w:p>
    <w:p w14:paraId="3D8239AA" w14:textId="3A9E4912" w:rsidR="004C7639" w:rsidRPr="002246D0" w:rsidRDefault="005941C5" w:rsidP="00551589">
      <w:pPr>
        <w:spacing w:before="200" w:after="200" w:line="240" w:lineRule="auto"/>
        <w:ind w:right="426"/>
        <w:jc w:val="center"/>
        <w:rPr>
          <w:rFonts w:asciiTheme="minorHAnsi" w:hAnsiTheme="minorHAnsi" w:cstheme="minorHAnsi"/>
        </w:rPr>
      </w:pPr>
      <w:r w:rsidRPr="002246D0">
        <w:rPr>
          <w:rFonts w:asciiTheme="minorHAnsi" w:hAnsiTheme="minorHAnsi" w:cstheme="minorHAnsi"/>
        </w:rPr>
        <w:br/>
      </w:r>
      <w:r w:rsidR="00551589" w:rsidRPr="002246D0">
        <w:rPr>
          <w:rFonts w:asciiTheme="minorHAnsi" w:hAnsiTheme="minorHAnsi" w:cstheme="minorHAnsi"/>
          <w:b/>
          <w:bCs/>
        </w:rPr>
        <w:t>JOÃO BARBOSA</w:t>
      </w:r>
      <w:r w:rsidR="00551589" w:rsidRPr="002246D0">
        <w:rPr>
          <w:rFonts w:asciiTheme="minorHAnsi" w:hAnsiTheme="minorHAnsi" w:cstheme="minorHAnsi"/>
          <w:b/>
          <w:bCs/>
        </w:rPr>
        <w:br/>
        <w:t>OAB/RS 90657-A</w:t>
      </w:r>
    </w:p>
    <w:p w14:paraId="1EAA27C6" w14:textId="00C49A72" w:rsidR="004C7639" w:rsidRPr="002246D0" w:rsidRDefault="004C7639" w:rsidP="00396D72">
      <w:pPr>
        <w:spacing w:before="200" w:after="200" w:line="240" w:lineRule="auto"/>
        <w:ind w:right="426"/>
        <w:jc w:val="center"/>
        <w:rPr>
          <w:rFonts w:asciiTheme="minorHAnsi" w:hAnsiTheme="minorHAnsi" w:cstheme="minorHAnsi"/>
        </w:rPr>
      </w:pPr>
    </w:p>
    <w:p w14:paraId="1165ADC8" w14:textId="04C88523" w:rsidR="004C7639" w:rsidRPr="002246D0" w:rsidRDefault="004C7639" w:rsidP="00396D72">
      <w:pPr>
        <w:spacing w:before="200" w:after="200" w:line="240" w:lineRule="auto"/>
        <w:ind w:right="426"/>
        <w:jc w:val="center"/>
        <w:rPr>
          <w:rFonts w:asciiTheme="minorHAnsi" w:hAnsiTheme="minorHAnsi" w:cstheme="minorHAnsi"/>
        </w:rPr>
      </w:pPr>
    </w:p>
    <w:p w14:paraId="1BA84687" w14:textId="21A66AB8" w:rsidR="004C7639" w:rsidRPr="002246D0" w:rsidRDefault="004C7639" w:rsidP="00396D72">
      <w:pPr>
        <w:spacing w:before="200" w:after="200" w:line="240" w:lineRule="auto"/>
        <w:ind w:right="426"/>
        <w:jc w:val="center"/>
        <w:rPr>
          <w:rFonts w:asciiTheme="minorHAnsi" w:hAnsiTheme="minorHAnsi" w:cstheme="minorHAnsi"/>
        </w:rPr>
      </w:pPr>
    </w:p>
    <w:p w14:paraId="1117284C" w14:textId="0EFCA8AB" w:rsidR="004C7639" w:rsidRPr="002246D0" w:rsidRDefault="004C7639" w:rsidP="00396D72">
      <w:pPr>
        <w:spacing w:before="200" w:after="200" w:line="240" w:lineRule="auto"/>
        <w:ind w:right="426"/>
        <w:jc w:val="center"/>
        <w:rPr>
          <w:rFonts w:asciiTheme="minorHAnsi" w:hAnsiTheme="minorHAnsi" w:cstheme="minorHAnsi"/>
        </w:rPr>
      </w:pPr>
    </w:p>
    <w:p w14:paraId="0DDF6378" w14:textId="4DF7A0AD" w:rsidR="004C7639" w:rsidRPr="002246D0" w:rsidRDefault="004C7639" w:rsidP="00396D72">
      <w:pPr>
        <w:spacing w:before="200" w:after="200" w:line="240" w:lineRule="auto"/>
        <w:ind w:right="426"/>
        <w:jc w:val="center"/>
        <w:rPr>
          <w:rFonts w:asciiTheme="minorHAnsi" w:hAnsiTheme="minorHAnsi" w:cstheme="minorHAnsi"/>
        </w:rPr>
      </w:pPr>
    </w:p>
    <w:p w14:paraId="2FDBDB86" w14:textId="208172E2" w:rsidR="004C7639" w:rsidRPr="002246D0" w:rsidRDefault="004C7639" w:rsidP="00396D72">
      <w:pPr>
        <w:spacing w:before="200" w:after="200" w:line="240" w:lineRule="auto"/>
        <w:ind w:right="426"/>
        <w:jc w:val="center"/>
        <w:rPr>
          <w:rFonts w:asciiTheme="minorHAnsi" w:hAnsiTheme="minorHAnsi" w:cstheme="minorHAnsi"/>
        </w:rPr>
      </w:pPr>
    </w:p>
    <w:p w14:paraId="7F0F1A67" w14:textId="0174D4E3" w:rsidR="004C7639" w:rsidRPr="002246D0" w:rsidRDefault="004C7639" w:rsidP="00334A67">
      <w:pPr>
        <w:spacing w:before="200" w:after="200" w:line="240" w:lineRule="auto"/>
        <w:ind w:right="426"/>
        <w:rPr>
          <w:rFonts w:asciiTheme="minorHAnsi" w:hAnsiTheme="minorHAnsi" w:cstheme="minorHAnsi"/>
        </w:rPr>
      </w:pPr>
    </w:p>
    <w:p w14:paraId="11A381AC" w14:textId="09B6FC2B" w:rsidR="004C7639" w:rsidRPr="002246D0" w:rsidRDefault="004C7639" w:rsidP="003C3A10">
      <w:pPr>
        <w:pStyle w:val="Ttulo2"/>
        <w:ind w:right="426"/>
        <w:jc w:val="left"/>
        <w:rPr>
          <w:rFonts w:asciiTheme="minorHAnsi" w:hAnsiTheme="minorHAnsi" w:cstheme="minorHAnsi"/>
          <w:sz w:val="22"/>
          <w:szCs w:val="22"/>
        </w:rPr>
      </w:pPr>
      <w:r w:rsidRPr="002246D0">
        <w:rPr>
          <w:rFonts w:asciiTheme="minorHAnsi" w:hAnsiTheme="minorHAnsi" w:cstheme="minorHAnsi"/>
          <w:sz w:val="22"/>
          <w:szCs w:val="22"/>
        </w:rPr>
        <w:t xml:space="preserve">EGRÉGIA </w:t>
      </w:r>
      <w:r w:rsidR="00334A67">
        <w:rPr>
          <w:rFonts w:asciiTheme="minorHAnsi" w:hAnsiTheme="minorHAnsi" w:cstheme="minorHAnsi"/>
          <w:sz w:val="22"/>
          <w:szCs w:val="22"/>
        </w:rPr>
        <w:t>TURMA NACIONAL DE UNIFORMIZAÇÃO</w:t>
      </w:r>
    </w:p>
    <w:p w14:paraId="6B17A095" w14:textId="0233C675" w:rsidR="004C7639" w:rsidRPr="002246D0" w:rsidRDefault="004C7639" w:rsidP="00396D72">
      <w:pPr>
        <w:pStyle w:val="Corpodetexto"/>
        <w:ind w:right="426" w:firstLine="1417"/>
        <w:rPr>
          <w:rFonts w:asciiTheme="minorHAnsi" w:hAnsiTheme="minorHAnsi" w:cstheme="minorHAnsi"/>
          <w:sz w:val="22"/>
          <w:szCs w:val="22"/>
        </w:rPr>
      </w:pPr>
    </w:p>
    <w:p w14:paraId="32BCA84A" w14:textId="642C18BA" w:rsidR="0004661C" w:rsidRPr="002246D0" w:rsidRDefault="0004661C" w:rsidP="00396D72">
      <w:pPr>
        <w:pStyle w:val="PargrafodaLista"/>
        <w:tabs>
          <w:tab w:val="left" w:pos="709"/>
        </w:tabs>
        <w:spacing w:line="320" w:lineRule="exact"/>
        <w:ind w:left="0" w:right="426"/>
        <w:jc w:val="center"/>
        <w:rPr>
          <w:rFonts w:cstheme="minorHAnsi"/>
          <w:b/>
          <w:bCs/>
          <w:smallCaps/>
          <w:sz w:val="22"/>
          <w:szCs w:val="22"/>
        </w:rPr>
      </w:pPr>
      <w:proofErr w:type="spellStart"/>
      <w:r w:rsidRPr="002246D0">
        <w:rPr>
          <w:rFonts w:cstheme="minorHAnsi"/>
          <w:b/>
          <w:bCs/>
          <w:smallCaps/>
          <w:sz w:val="22"/>
          <w:szCs w:val="22"/>
        </w:rPr>
        <w:t>Contrarrazões</w:t>
      </w:r>
      <w:proofErr w:type="spellEnd"/>
      <w:r w:rsidRPr="002246D0">
        <w:rPr>
          <w:rFonts w:cstheme="minorHAnsi"/>
          <w:b/>
          <w:bCs/>
          <w:smallCaps/>
          <w:sz w:val="22"/>
          <w:szCs w:val="22"/>
        </w:rPr>
        <w:t xml:space="preserve"> da </w:t>
      </w:r>
      <w:proofErr w:type="spellStart"/>
      <w:r w:rsidRPr="002246D0">
        <w:rPr>
          <w:rFonts w:cstheme="minorHAnsi"/>
          <w:b/>
          <w:bCs/>
          <w:smallCaps/>
          <w:sz w:val="22"/>
          <w:szCs w:val="22"/>
        </w:rPr>
        <w:t>Recorrida</w:t>
      </w:r>
      <w:proofErr w:type="spellEnd"/>
    </w:p>
    <w:p w14:paraId="0A90EACA" w14:textId="427AC0D0" w:rsidR="0004661C" w:rsidRPr="002246D0" w:rsidRDefault="0004661C" w:rsidP="00396D72">
      <w:pPr>
        <w:pStyle w:val="PargrafodaLista"/>
        <w:tabs>
          <w:tab w:val="left" w:pos="709"/>
        </w:tabs>
        <w:spacing w:line="320" w:lineRule="exact"/>
        <w:ind w:left="0" w:right="426"/>
        <w:jc w:val="center"/>
        <w:rPr>
          <w:rFonts w:cstheme="minorHAnsi"/>
          <w:b/>
          <w:bCs/>
          <w:smallCaps/>
          <w:sz w:val="22"/>
          <w:szCs w:val="22"/>
        </w:rPr>
      </w:pPr>
      <w:proofErr w:type="spellStart"/>
      <w:r w:rsidRPr="002246D0">
        <w:rPr>
          <w:rFonts w:cstheme="minorHAnsi"/>
          <w:b/>
          <w:bCs/>
          <w:smallCaps/>
          <w:sz w:val="22"/>
          <w:szCs w:val="22"/>
          <w:u w:val="single"/>
        </w:rPr>
        <w:t>Caixa</w:t>
      </w:r>
      <w:proofErr w:type="spellEnd"/>
      <w:r w:rsidRPr="002246D0">
        <w:rPr>
          <w:rFonts w:cstheme="minorHAnsi"/>
          <w:b/>
          <w:bCs/>
          <w:smallCaps/>
          <w:sz w:val="22"/>
          <w:szCs w:val="22"/>
          <w:u w:val="single"/>
        </w:rPr>
        <w:t xml:space="preserve"> </w:t>
      </w:r>
      <w:proofErr w:type="spellStart"/>
      <w:r w:rsidRPr="002246D0">
        <w:rPr>
          <w:rFonts w:cstheme="minorHAnsi"/>
          <w:b/>
          <w:bCs/>
          <w:smallCaps/>
          <w:sz w:val="22"/>
          <w:szCs w:val="22"/>
          <w:u w:val="single"/>
        </w:rPr>
        <w:t>Econômica</w:t>
      </w:r>
      <w:proofErr w:type="spellEnd"/>
      <w:r w:rsidRPr="002246D0">
        <w:rPr>
          <w:rFonts w:cstheme="minorHAnsi"/>
          <w:b/>
          <w:bCs/>
          <w:smallCaps/>
          <w:sz w:val="22"/>
          <w:szCs w:val="22"/>
          <w:u w:val="single"/>
        </w:rPr>
        <w:t xml:space="preserve"> Federal</w:t>
      </w:r>
    </w:p>
    <w:p w14:paraId="04785251" w14:textId="77777777" w:rsidR="004C7639" w:rsidRPr="002246D0" w:rsidRDefault="004C7639" w:rsidP="00396D72">
      <w:pPr>
        <w:pStyle w:val="Ttulo2"/>
        <w:ind w:right="426"/>
        <w:jc w:val="left"/>
        <w:rPr>
          <w:rFonts w:asciiTheme="minorHAnsi" w:hAnsiTheme="minorHAnsi" w:cstheme="minorHAnsi"/>
          <w:sz w:val="22"/>
          <w:szCs w:val="22"/>
        </w:rPr>
      </w:pPr>
      <w:r w:rsidRPr="002246D0">
        <w:rPr>
          <w:rFonts w:asciiTheme="minorHAnsi" w:hAnsiTheme="minorHAnsi" w:cstheme="minorHAnsi"/>
          <w:sz w:val="22"/>
          <w:szCs w:val="22"/>
        </w:rPr>
        <w:t>DA SÍNTESE DA DEMANDA</w:t>
      </w:r>
    </w:p>
    <w:p w14:paraId="4BF4A196" w14:textId="77777777" w:rsidR="00334A67" w:rsidRDefault="00334A67" w:rsidP="003C3A10">
      <w:pPr>
        <w:spacing w:line="360" w:lineRule="auto"/>
        <w:ind w:firstLine="708"/>
        <w:jc w:val="both"/>
        <w:rPr>
          <w:rFonts w:asciiTheme="minorHAnsi" w:hAnsiTheme="minorHAnsi" w:cstheme="minorHAnsi"/>
          <w:bCs/>
        </w:rPr>
      </w:pPr>
    </w:p>
    <w:p w14:paraId="33501082" w14:textId="77777777" w:rsidR="00AF534A" w:rsidRDefault="00AF534A" w:rsidP="003C3A10">
      <w:pPr>
        <w:spacing w:line="360" w:lineRule="auto"/>
        <w:ind w:firstLine="708"/>
        <w:jc w:val="both"/>
        <w:rPr>
          <w:rFonts w:asciiTheme="minorHAnsi" w:hAnsiTheme="minorHAnsi" w:cstheme="minorHAnsi"/>
          <w:bCs/>
        </w:rPr>
      </w:pPr>
    </w:p>
    <w:p w14:paraId="4E9758AD" w14:textId="0380D633" w:rsidR="003C3A10" w:rsidRDefault="003C3A10" w:rsidP="003C3A10">
      <w:pPr>
        <w:spacing w:line="360" w:lineRule="auto"/>
        <w:ind w:firstLine="708"/>
        <w:jc w:val="both"/>
        <w:rPr>
          <w:rFonts w:asciiTheme="minorHAnsi" w:hAnsiTheme="minorHAnsi" w:cstheme="minorHAnsi"/>
          <w:b/>
          <w:bCs/>
        </w:rPr>
      </w:pPr>
      <w:r w:rsidRPr="003C3A10">
        <w:rPr>
          <w:rFonts w:asciiTheme="minorHAnsi" w:hAnsiTheme="minorHAnsi" w:cstheme="minorHAnsi"/>
          <w:bCs/>
        </w:rPr>
        <w:t xml:space="preserve">Trata-se de Ação que requer </w:t>
      </w:r>
      <w:r w:rsidR="00220179" w:rsidRPr="00220179">
        <w:rPr>
          <w:rFonts w:asciiTheme="minorHAnsi" w:hAnsiTheme="minorHAnsi" w:cstheme="minorHAnsi"/>
          <w:bCs/>
        </w:rPr>
        <w:t>PEDIDO DE UNIFORMIZAÇÃO DE JURISPRUDÊNCIA PARA A TURMA NACIONAL</w:t>
      </w:r>
      <w:r w:rsidR="00220179">
        <w:rPr>
          <w:rFonts w:asciiTheme="minorHAnsi" w:hAnsiTheme="minorHAnsi" w:cstheme="minorHAnsi"/>
          <w:bCs/>
        </w:rPr>
        <w:t xml:space="preserve"> para </w:t>
      </w:r>
      <w:r w:rsidRPr="003C3A10">
        <w:rPr>
          <w:rFonts w:asciiTheme="minorHAnsi" w:hAnsiTheme="minorHAnsi" w:cstheme="minorHAnsi"/>
          <w:bCs/>
        </w:rPr>
        <w:t xml:space="preserve">condenação da </w:t>
      </w:r>
      <w:r w:rsidRPr="003C3A10">
        <w:rPr>
          <w:rFonts w:asciiTheme="minorHAnsi" w:hAnsiTheme="minorHAnsi" w:cstheme="minorHAnsi"/>
        </w:rPr>
        <w:t xml:space="preserve">CAIXA em face do atraso de obra, visando </w:t>
      </w:r>
      <w:r w:rsidR="00334A67">
        <w:rPr>
          <w:rFonts w:asciiTheme="minorHAnsi" w:hAnsiTheme="minorHAnsi" w:cstheme="minorHAnsi"/>
        </w:rPr>
        <w:t xml:space="preserve">danos morais, materiais e lucros cessantes em relação à entrega de apartamento </w:t>
      </w:r>
      <w:proofErr w:type="gramStart"/>
      <w:r w:rsidR="00334A67">
        <w:rPr>
          <w:rFonts w:asciiTheme="minorHAnsi" w:hAnsiTheme="minorHAnsi" w:cstheme="minorHAnsi"/>
        </w:rPr>
        <w:t>devido à</w:t>
      </w:r>
      <w:proofErr w:type="gramEnd"/>
      <w:r w:rsidR="00334A67">
        <w:rPr>
          <w:rFonts w:asciiTheme="minorHAnsi" w:hAnsiTheme="minorHAnsi" w:cstheme="minorHAnsi"/>
        </w:rPr>
        <w:t xml:space="preserve"> </w:t>
      </w:r>
      <w:r w:rsidRPr="003C3A10">
        <w:rPr>
          <w:rFonts w:asciiTheme="minorHAnsi" w:hAnsiTheme="minorHAnsi" w:cstheme="minorHAnsi"/>
        </w:rPr>
        <w:t xml:space="preserve">obras </w:t>
      </w:r>
      <w:r w:rsidR="00334A67">
        <w:rPr>
          <w:rFonts w:asciiTheme="minorHAnsi" w:hAnsiTheme="minorHAnsi" w:cstheme="minorHAnsi"/>
        </w:rPr>
        <w:t xml:space="preserve">inacabadas </w:t>
      </w:r>
      <w:r w:rsidR="00AF534A">
        <w:rPr>
          <w:rFonts w:asciiTheme="minorHAnsi" w:hAnsiTheme="minorHAnsi" w:cstheme="minorHAnsi"/>
        </w:rPr>
        <w:t xml:space="preserve">de construção de </w:t>
      </w:r>
      <w:r w:rsidRPr="003C3A10">
        <w:rPr>
          <w:rFonts w:asciiTheme="minorHAnsi" w:hAnsiTheme="minorHAnsi" w:cstheme="minorHAnsi"/>
        </w:rPr>
        <w:t xml:space="preserve">unidades habitacionais do residencial, </w:t>
      </w:r>
      <w:r w:rsidRPr="003C3A10">
        <w:rPr>
          <w:rFonts w:asciiTheme="minorHAnsi" w:hAnsiTheme="minorHAnsi" w:cstheme="minorHAnsi"/>
          <w:b/>
          <w:bCs/>
        </w:rPr>
        <w:t xml:space="preserve">empreendimento financiado com recursos do Fundo de Desenvolvimento Social − FDS, no âmbito do programa Minha Casa, Minha Vida – Entidades. </w:t>
      </w:r>
    </w:p>
    <w:p w14:paraId="6706B958" w14:textId="35124302" w:rsidR="00AF534A" w:rsidRPr="00AF534A" w:rsidRDefault="00AF534A" w:rsidP="00AF534A">
      <w:pPr>
        <w:spacing w:line="360" w:lineRule="auto"/>
        <w:ind w:firstLine="708"/>
        <w:jc w:val="both"/>
        <w:rPr>
          <w:rFonts w:asciiTheme="minorHAnsi" w:hAnsiTheme="minorHAnsi" w:cstheme="minorHAnsi"/>
          <w:bCs/>
        </w:rPr>
      </w:pPr>
      <w:r w:rsidRPr="00334A67">
        <w:rPr>
          <w:rFonts w:asciiTheme="minorHAnsi" w:hAnsiTheme="minorHAnsi" w:cstheme="minorHAnsi"/>
          <w:bCs/>
        </w:rPr>
        <w:t>O Acórdão prolatado pela D. Turma Recursal do Estado do </w:t>
      </w:r>
      <w:r>
        <w:rPr>
          <w:rFonts w:asciiTheme="minorHAnsi" w:hAnsiTheme="minorHAnsi" w:cstheme="minorHAnsi"/>
          <w:bCs/>
        </w:rPr>
        <w:t>Rio Grande do Sul</w:t>
      </w:r>
      <w:r w:rsidRPr="00334A67">
        <w:rPr>
          <w:rFonts w:asciiTheme="minorHAnsi" w:hAnsiTheme="minorHAnsi" w:cstheme="minorHAnsi"/>
          <w:bCs/>
        </w:rPr>
        <w:t> deve ser mantido, pois a matéria foi examinada em sintonia com as provas constantes dos autos e fundamentada com as normas legais aplicáveis, inadmitindo, qualquer espécie de modificação, sob pena de atentar contra o melhor Direito.</w:t>
      </w:r>
    </w:p>
    <w:p w14:paraId="2407302C" w14:textId="31047E67" w:rsidR="00220179" w:rsidRDefault="00220179" w:rsidP="003C3A10">
      <w:pPr>
        <w:spacing w:line="360" w:lineRule="auto"/>
        <w:ind w:firstLine="708"/>
        <w:jc w:val="both"/>
        <w:rPr>
          <w:rFonts w:asciiTheme="minorHAnsi" w:hAnsiTheme="minorHAnsi" w:cstheme="minorHAnsi"/>
          <w:bCs/>
        </w:rPr>
      </w:pPr>
      <w:r>
        <w:rPr>
          <w:rFonts w:asciiTheme="minorHAnsi" w:hAnsiTheme="minorHAnsi" w:cstheme="minorHAnsi"/>
          <w:bCs/>
        </w:rPr>
        <w:t>Ocorre que, o pedido de uniformização de Jurisprudência se trata de um sucedâneo processual restrito, ou seja, é cabível somente quando houver divergência entre decisões sobre questões de direito material proferido por turmas recursais na interpretação da Lei.</w:t>
      </w:r>
    </w:p>
    <w:p w14:paraId="14720764" w14:textId="7A13A1DB" w:rsidR="00220179" w:rsidRDefault="00220179" w:rsidP="003C3A10">
      <w:pPr>
        <w:spacing w:line="360" w:lineRule="auto"/>
        <w:ind w:firstLine="708"/>
        <w:jc w:val="both"/>
        <w:rPr>
          <w:rFonts w:asciiTheme="minorHAnsi" w:hAnsiTheme="minorHAnsi" w:cstheme="minorHAnsi"/>
          <w:bCs/>
        </w:rPr>
      </w:pPr>
      <w:r>
        <w:rPr>
          <w:rFonts w:asciiTheme="minorHAnsi" w:hAnsiTheme="minorHAnsi" w:cstheme="minorHAnsi"/>
          <w:bCs/>
        </w:rPr>
        <w:t>A mera alegação de que as decisões anteriores fora “injustas” não servem para fundamentar a estreita via do pedido de Uniformização de Jurisprudência.</w:t>
      </w:r>
    </w:p>
    <w:p w14:paraId="5E35411F" w14:textId="747D023D" w:rsidR="00220179" w:rsidRPr="00220179" w:rsidRDefault="00220179" w:rsidP="003C3A10">
      <w:pPr>
        <w:spacing w:line="360" w:lineRule="auto"/>
        <w:ind w:firstLine="708"/>
        <w:jc w:val="both"/>
        <w:rPr>
          <w:rFonts w:asciiTheme="minorHAnsi" w:hAnsiTheme="minorHAnsi" w:cstheme="minorHAnsi"/>
          <w:bCs/>
        </w:rPr>
      </w:pPr>
      <w:r>
        <w:rPr>
          <w:rFonts w:asciiTheme="minorHAnsi" w:hAnsiTheme="minorHAnsi" w:cstheme="minorHAnsi"/>
          <w:bCs/>
        </w:rPr>
        <w:t>Por tais razões a não observância dos requisitos de admissibilidade deve conduzir ao não reconhecimento do presente pedido.</w:t>
      </w:r>
    </w:p>
    <w:p w14:paraId="5D0B3ECA" w14:textId="519C0B23" w:rsidR="003C3A10" w:rsidRPr="003C3A10" w:rsidRDefault="003C3A10" w:rsidP="003C3A10">
      <w:pPr>
        <w:spacing w:line="360" w:lineRule="auto"/>
        <w:ind w:firstLine="708"/>
        <w:jc w:val="both"/>
        <w:rPr>
          <w:rFonts w:asciiTheme="minorHAnsi" w:hAnsiTheme="minorHAnsi" w:cstheme="minorHAnsi"/>
          <w:bCs/>
        </w:rPr>
      </w:pPr>
      <w:r w:rsidRPr="003C3A10">
        <w:rPr>
          <w:rFonts w:asciiTheme="minorHAnsi" w:hAnsiTheme="minorHAnsi" w:cstheme="minorHAnsi"/>
          <w:bCs/>
        </w:rPr>
        <w:t xml:space="preserve">Ressalte-se </w:t>
      </w:r>
      <w:r w:rsidR="00FC7798">
        <w:rPr>
          <w:rFonts w:asciiTheme="minorHAnsi" w:hAnsiTheme="minorHAnsi" w:cstheme="minorHAnsi"/>
          <w:bCs/>
        </w:rPr>
        <w:t xml:space="preserve">ainda </w:t>
      </w:r>
      <w:r w:rsidRPr="003C3A10">
        <w:rPr>
          <w:rFonts w:asciiTheme="minorHAnsi" w:hAnsiTheme="minorHAnsi" w:cstheme="minorHAnsi"/>
          <w:bCs/>
        </w:rPr>
        <w:t xml:space="preserve">o </w:t>
      </w:r>
      <w:r w:rsidRPr="003C3A10">
        <w:rPr>
          <w:rFonts w:asciiTheme="minorHAnsi" w:hAnsiTheme="minorHAnsi" w:cstheme="minorHAnsi"/>
        </w:rPr>
        <w:t>Termo de Cooperação e Parceria firmado com a Entidade Organizadora, em especial pelo descumprimento dos deveres previstos nas alíneas “q” e “z” da cláusula sétima do referido Termo:</w:t>
      </w:r>
    </w:p>
    <w:p w14:paraId="1374A453" w14:textId="77777777" w:rsidR="003C3A10" w:rsidRPr="003C3A10" w:rsidRDefault="003C3A10" w:rsidP="003C3A10">
      <w:pPr>
        <w:spacing w:line="360" w:lineRule="auto"/>
        <w:ind w:left="2268"/>
        <w:jc w:val="both"/>
        <w:rPr>
          <w:rFonts w:asciiTheme="minorHAnsi" w:hAnsiTheme="minorHAnsi" w:cstheme="minorHAnsi"/>
          <w:i/>
          <w:iCs/>
        </w:rPr>
      </w:pPr>
      <w:r w:rsidRPr="003C3A10">
        <w:rPr>
          <w:rFonts w:asciiTheme="minorHAnsi" w:hAnsiTheme="minorHAnsi" w:cstheme="minorHAnsi"/>
          <w:i/>
          <w:iCs/>
        </w:rPr>
        <w:t>“q – Coordenar a participação de todos os envolvidos na execução do empreendimento, de forma a assegurar sincronismo e harmonia na implementação do projeto e na disponibilização dos recursos necessários à sua execução;</w:t>
      </w:r>
    </w:p>
    <w:p w14:paraId="7CD0CEED" w14:textId="77777777" w:rsidR="003C3A10" w:rsidRPr="003C3A10" w:rsidRDefault="003C3A10" w:rsidP="003C3A10">
      <w:pPr>
        <w:spacing w:line="360" w:lineRule="auto"/>
        <w:ind w:left="2268"/>
        <w:jc w:val="both"/>
        <w:rPr>
          <w:rFonts w:asciiTheme="minorHAnsi" w:hAnsiTheme="minorHAnsi" w:cstheme="minorHAnsi"/>
          <w:i/>
          <w:iCs/>
        </w:rPr>
      </w:pPr>
      <w:r w:rsidRPr="003C3A10">
        <w:rPr>
          <w:rFonts w:asciiTheme="minorHAnsi" w:hAnsiTheme="minorHAnsi" w:cstheme="minorHAnsi"/>
          <w:i/>
          <w:iCs/>
        </w:rPr>
        <w:lastRenderedPageBreak/>
        <w:t>...</w:t>
      </w:r>
    </w:p>
    <w:p w14:paraId="719F64F0" w14:textId="77777777" w:rsidR="003C3A10" w:rsidRPr="003C3A10" w:rsidRDefault="003C3A10" w:rsidP="003C3A10">
      <w:pPr>
        <w:spacing w:line="360" w:lineRule="auto"/>
        <w:ind w:left="2268"/>
        <w:jc w:val="both"/>
        <w:rPr>
          <w:rFonts w:asciiTheme="minorHAnsi" w:hAnsiTheme="minorHAnsi" w:cstheme="minorHAnsi"/>
          <w:i/>
          <w:iCs/>
        </w:rPr>
      </w:pPr>
      <w:r w:rsidRPr="003C3A10">
        <w:rPr>
          <w:rFonts w:asciiTheme="minorHAnsi" w:hAnsiTheme="minorHAnsi" w:cstheme="minorHAnsi"/>
          <w:i/>
          <w:iCs/>
        </w:rPr>
        <w:t>z – Apresentar à Caixa, mensalmente, relatório de fiscalização da obra e demonstrativo da evolução física do empreendimento, conforme projetos técnicos, especificações e cronograma físico-financeiro global aprovado;”</w:t>
      </w:r>
    </w:p>
    <w:p w14:paraId="0AF03B5C" w14:textId="77777777" w:rsidR="003C3A10" w:rsidRPr="003C3A10" w:rsidRDefault="003C3A10" w:rsidP="003C3A10">
      <w:pPr>
        <w:spacing w:line="360" w:lineRule="auto"/>
        <w:ind w:firstLine="2880"/>
        <w:jc w:val="both"/>
        <w:rPr>
          <w:rFonts w:asciiTheme="minorHAnsi" w:hAnsiTheme="minorHAnsi" w:cstheme="minorHAnsi"/>
        </w:rPr>
      </w:pPr>
    </w:p>
    <w:p w14:paraId="3D21E8C0" w14:textId="77777777" w:rsidR="003C3A10" w:rsidRPr="003C3A10" w:rsidRDefault="003C3A10" w:rsidP="003C3A10">
      <w:pPr>
        <w:spacing w:line="360" w:lineRule="auto"/>
        <w:ind w:firstLine="708"/>
        <w:jc w:val="both"/>
        <w:rPr>
          <w:rFonts w:asciiTheme="minorHAnsi" w:hAnsiTheme="minorHAnsi" w:cstheme="minorHAnsi"/>
        </w:rPr>
      </w:pPr>
      <w:r w:rsidRPr="003C3A10">
        <w:rPr>
          <w:rFonts w:asciiTheme="minorHAnsi" w:hAnsiTheme="minorHAnsi" w:cstheme="minorHAnsi"/>
          <w:b/>
          <w:bCs/>
        </w:rPr>
        <w:t xml:space="preserve">Ação pretende imputar responsabilidade à CAIXA por supostamente não adotar medidas para a retomada do empreendimento, mantendo-se omissa no seu dever legal de promover política pública de habitação, prejudicando, com isso, família de baixa renda e pretende compelir a CAIXA à conclusão do empreendimento nem a pagar: </w:t>
      </w:r>
      <w:bookmarkStart w:id="0" w:name="_Hlk139907330"/>
      <w:r w:rsidRPr="003C3A10">
        <w:rPr>
          <w:rFonts w:asciiTheme="minorHAnsi" w:hAnsiTheme="minorHAnsi" w:cstheme="minorHAnsi"/>
          <w:bCs/>
        </w:rPr>
        <w:t>lucros cessantes por atraso de obra, além de danos material e moral.</w:t>
      </w:r>
    </w:p>
    <w:bookmarkEnd w:id="0"/>
    <w:p w14:paraId="64C38AD9" w14:textId="58EAEDA8" w:rsidR="00755273" w:rsidRPr="002246D0" w:rsidRDefault="00755273" w:rsidP="00755273">
      <w:pPr>
        <w:spacing w:line="360" w:lineRule="auto"/>
        <w:ind w:firstLine="2880"/>
        <w:jc w:val="both"/>
        <w:rPr>
          <w:rFonts w:asciiTheme="minorHAnsi" w:hAnsiTheme="minorHAnsi" w:cstheme="minorHAnsi"/>
        </w:rPr>
      </w:pPr>
    </w:p>
    <w:p w14:paraId="7C8FD7AE" w14:textId="6A642D48" w:rsidR="003C3A10" w:rsidRPr="00FC7798" w:rsidRDefault="00755273" w:rsidP="00FC7798">
      <w:pPr>
        <w:spacing w:line="360" w:lineRule="auto"/>
        <w:ind w:firstLine="708"/>
        <w:jc w:val="both"/>
        <w:rPr>
          <w:rFonts w:asciiTheme="minorHAnsi" w:hAnsiTheme="minorHAnsi" w:cstheme="minorHAnsi"/>
        </w:rPr>
      </w:pPr>
      <w:r w:rsidRPr="002246D0">
        <w:rPr>
          <w:rFonts w:asciiTheme="minorHAnsi" w:hAnsiTheme="minorHAnsi" w:cstheme="minorHAnsi"/>
        </w:rPr>
        <w:t>Assim sendo, em defesa a CAIXA ECONÔMICA FEDERAL elucidou exaustivamente sua posição no contrato como MERO AGENTE FINANCEIRO.</w:t>
      </w:r>
    </w:p>
    <w:p w14:paraId="2E9BA568" w14:textId="77777777" w:rsidR="003C3A10" w:rsidRPr="002246D0" w:rsidRDefault="003C3A10" w:rsidP="00396D72">
      <w:pPr>
        <w:pStyle w:val="PargrafodaLista"/>
        <w:tabs>
          <w:tab w:val="left" w:pos="709"/>
        </w:tabs>
        <w:spacing w:line="320" w:lineRule="exact"/>
        <w:ind w:left="0" w:right="426"/>
        <w:jc w:val="both"/>
        <w:rPr>
          <w:rFonts w:cstheme="minorHAnsi"/>
          <w:sz w:val="22"/>
          <w:szCs w:val="22"/>
        </w:rPr>
      </w:pPr>
    </w:p>
    <w:p w14:paraId="528D05EE" w14:textId="77777777" w:rsidR="00FC7798" w:rsidRDefault="003E11A0" w:rsidP="00396D72">
      <w:pPr>
        <w:pStyle w:val="PargrafodaLista"/>
        <w:tabs>
          <w:tab w:val="left" w:pos="709"/>
        </w:tabs>
        <w:spacing w:line="320" w:lineRule="exact"/>
        <w:ind w:left="0" w:right="426"/>
        <w:jc w:val="both"/>
        <w:rPr>
          <w:rFonts w:cstheme="minorHAnsi"/>
          <w:bCs/>
          <w:sz w:val="22"/>
          <w:szCs w:val="22"/>
          <w:lang w:val="pt-BR"/>
        </w:rPr>
      </w:pPr>
      <w:r w:rsidRPr="002246D0">
        <w:rPr>
          <w:rFonts w:cstheme="minorHAnsi"/>
          <w:bCs/>
          <w:sz w:val="22"/>
          <w:szCs w:val="22"/>
          <w:lang w:val="pt-BR"/>
        </w:rPr>
        <w:tab/>
      </w:r>
      <w:r w:rsidR="0004661C" w:rsidRPr="002246D0">
        <w:rPr>
          <w:rFonts w:cstheme="minorHAnsi"/>
          <w:bCs/>
          <w:sz w:val="22"/>
          <w:szCs w:val="22"/>
          <w:lang w:val="pt-BR"/>
        </w:rPr>
        <w:t xml:space="preserve">Ao término da prestação jurisdicional, </w:t>
      </w:r>
      <w:r w:rsidR="00FC7798">
        <w:rPr>
          <w:rFonts w:cstheme="minorHAnsi"/>
          <w:bCs/>
          <w:sz w:val="22"/>
          <w:szCs w:val="22"/>
          <w:lang w:val="pt-BR"/>
        </w:rPr>
        <w:t>e também exposto pela parte autora em sua peça para TNU:</w:t>
      </w:r>
    </w:p>
    <w:p w14:paraId="5A46BF49" w14:textId="77777777" w:rsidR="00FC7798" w:rsidRDefault="00FC7798" w:rsidP="00396D72">
      <w:pPr>
        <w:pStyle w:val="PargrafodaLista"/>
        <w:tabs>
          <w:tab w:val="left" w:pos="709"/>
        </w:tabs>
        <w:spacing w:line="320" w:lineRule="exact"/>
        <w:ind w:left="0" w:right="426"/>
        <w:jc w:val="both"/>
        <w:rPr>
          <w:rFonts w:cstheme="minorHAnsi"/>
          <w:bCs/>
          <w:sz w:val="22"/>
          <w:szCs w:val="22"/>
          <w:lang w:val="pt-BR"/>
        </w:rPr>
      </w:pPr>
    </w:p>
    <w:p w14:paraId="6737EB95" w14:textId="71392351" w:rsidR="0004661C" w:rsidRPr="00FC7798" w:rsidRDefault="00FC7798" w:rsidP="00FC7798">
      <w:pPr>
        <w:pStyle w:val="PargrafodaLista"/>
        <w:ind w:right="426"/>
        <w:jc w:val="both"/>
        <w:rPr>
          <w:rFonts w:cstheme="minorHAnsi"/>
          <w:sz w:val="22"/>
          <w:szCs w:val="22"/>
        </w:rPr>
      </w:pPr>
      <w:r w:rsidRPr="00FC7798">
        <w:rPr>
          <w:rFonts w:cstheme="minorHAnsi"/>
          <w:sz w:val="22"/>
          <w:szCs w:val="22"/>
        </w:rPr>
        <w:t xml:space="preserve">A </w:t>
      </w:r>
      <w:proofErr w:type="spellStart"/>
      <w:r w:rsidRPr="00FC7798">
        <w:rPr>
          <w:rFonts w:cstheme="minorHAnsi"/>
          <w:sz w:val="22"/>
          <w:szCs w:val="22"/>
        </w:rPr>
        <w:t>decisão</w:t>
      </w:r>
      <w:proofErr w:type="spellEnd"/>
      <w:r w:rsidRPr="00FC7798">
        <w:rPr>
          <w:rFonts w:cstheme="minorHAnsi"/>
          <w:sz w:val="22"/>
          <w:szCs w:val="22"/>
        </w:rPr>
        <w:t xml:space="preserve"> de </w:t>
      </w:r>
      <w:proofErr w:type="spellStart"/>
      <w:r w:rsidRPr="00FC7798">
        <w:rPr>
          <w:rFonts w:cstheme="minorHAnsi"/>
          <w:sz w:val="22"/>
          <w:szCs w:val="22"/>
        </w:rPr>
        <w:t>primeiro</w:t>
      </w:r>
      <w:proofErr w:type="spellEnd"/>
      <w:r w:rsidRPr="00FC7798">
        <w:rPr>
          <w:rFonts w:cstheme="minorHAnsi"/>
          <w:sz w:val="22"/>
          <w:szCs w:val="22"/>
        </w:rPr>
        <w:t xml:space="preserve"> </w:t>
      </w:r>
      <w:proofErr w:type="spellStart"/>
      <w:r w:rsidRPr="00FC7798">
        <w:rPr>
          <w:rFonts w:cstheme="minorHAnsi"/>
          <w:sz w:val="22"/>
          <w:szCs w:val="22"/>
        </w:rPr>
        <w:t>grau</w:t>
      </w:r>
      <w:proofErr w:type="spellEnd"/>
      <w:r w:rsidRPr="00FC7798">
        <w:rPr>
          <w:rFonts w:cstheme="minorHAnsi"/>
          <w:sz w:val="22"/>
          <w:szCs w:val="22"/>
        </w:rPr>
        <w:t xml:space="preserve"> </w:t>
      </w:r>
      <w:proofErr w:type="spellStart"/>
      <w:r w:rsidRPr="00FC7798">
        <w:rPr>
          <w:rFonts w:cstheme="minorHAnsi"/>
          <w:sz w:val="22"/>
          <w:szCs w:val="22"/>
        </w:rPr>
        <w:t>julgou</w:t>
      </w:r>
      <w:proofErr w:type="spellEnd"/>
      <w:r w:rsidRPr="00FC7798">
        <w:rPr>
          <w:rFonts w:cstheme="minorHAnsi"/>
          <w:sz w:val="22"/>
          <w:szCs w:val="22"/>
        </w:rPr>
        <w:t xml:space="preserve"> </w:t>
      </w:r>
      <w:proofErr w:type="spellStart"/>
      <w:r w:rsidRPr="00FC7798">
        <w:rPr>
          <w:rFonts w:cstheme="minorHAnsi"/>
          <w:sz w:val="22"/>
          <w:szCs w:val="22"/>
        </w:rPr>
        <w:t>improc</w:t>
      </w:r>
      <w:r>
        <w:rPr>
          <w:rFonts w:cstheme="minorHAnsi"/>
          <w:sz w:val="22"/>
          <w:szCs w:val="22"/>
        </w:rPr>
        <w:t>edente</w:t>
      </w:r>
      <w:proofErr w:type="spellEnd"/>
      <w:r>
        <w:rPr>
          <w:rFonts w:cstheme="minorHAnsi"/>
          <w:sz w:val="22"/>
          <w:szCs w:val="22"/>
        </w:rPr>
        <w:t xml:space="preserve"> </w:t>
      </w:r>
      <w:proofErr w:type="spellStart"/>
      <w:r>
        <w:rPr>
          <w:rFonts w:cstheme="minorHAnsi"/>
          <w:sz w:val="22"/>
          <w:szCs w:val="22"/>
        </w:rPr>
        <w:t>os</w:t>
      </w:r>
      <w:proofErr w:type="spellEnd"/>
      <w:r>
        <w:rPr>
          <w:rFonts w:cstheme="minorHAnsi"/>
          <w:sz w:val="22"/>
          <w:szCs w:val="22"/>
        </w:rPr>
        <w:t xml:space="preserve"> </w:t>
      </w:r>
      <w:proofErr w:type="spellStart"/>
      <w:r>
        <w:rPr>
          <w:rFonts w:cstheme="minorHAnsi"/>
          <w:sz w:val="22"/>
          <w:szCs w:val="22"/>
        </w:rPr>
        <w:t>pedidos</w:t>
      </w:r>
      <w:proofErr w:type="spellEnd"/>
      <w:r>
        <w:rPr>
          <w:rFonts w:cstheme="minorHAnsi"/>
          <w:sz w:val="22"/>
          <w:szCs w:val="22"/>
        </w:rPr>
        <w:t xml:space="preserve"> </w:t>
      </w:r>
      <w:proofErr w:type="spellStart"/>
      <w:r>
        <w:rPr>
          <w:rFonts w:cstheme="minorHAnsi"/>
          <w:sz w:val="22"/>
          <w:szCs w:val="22"/>
        </w:rPr>
        <w:t>pleiteados</w:t>
      </w:r>
      <w:proofErr w:type="spellEnd"/>
      <w:r>
        <w:rPr>
          <w:rFonts w:cstheme="minorHAnsi"/>
          <w:sz w:val="22"/>
          <w:szCs w:val="22"/>
        </w:rPr>
        <w:t xml:space="preserve"> </w:t>
      </w:r>
      <w:proofErr w:type="spellStart"/>
      <w:proofErr w:type="gramStart"/>
      <w:r>
        <w:rPr>
          <w:rFonts w:cstheme="minorHAnsi"/>
          <w:sz w:val="22"/>
          <w:szCs w:val="22"/>
        </w:rPr>
        <w:t>na</w:t>
      </w:r>
      <w:proofErr w:type="spellEnd"/>
      <w:proofErr w:type="gramEnd"/>
      <w:r>
        <w:rPr>
          <w:rFonts w:cstheme="minorHAnsi"/>
          <w:sz w:val="22"/>
          <w:szCs w:val="22"/>
        </w:rPr>
        <w:t xml:space="preserve"> </w:t>
      </w:r>
      <w:r w:rsidRPr="00FC7798">
        <w:rPr>
          <w:rFonts w:cstheme="minorHAnsi"/>
          <w:sz w:val="22"/>
          <w:szCs w:val="22"/>
        </w:rPr>
        <w:t xml:space="preserve">exordial, </w:t>
      </w:r>
      <w:proofErr w:type="spellStart"/>
      <w:r w:rsidRPr="00FC7798">
        <w:rPr>
          <w:rFonts w:cstheme="minorHAnsi"/>
          <w:sz w:val="22"/>
          <w:szCs w:val="22"/>
        </w:rPr>
        <w:t>deferindo</w:t>
      </w:r>
      <w:proofErr w:type="spellEnd"/>
      <w:r w:rsidRPr="00FC7798">
        <w:rPr>
          <w:rFonts w:cstheme="minorHAnsi"/>
          <w:sz w:val="22"/>
          <w:szCs w:val="22"/>
        </w:rPr>
        <w:t xml:space="preserve"> </w:t>
      </w:r>
      <w:proofErr w:type="spellStart"/>
      <w:r w:rsidRPr="00FC7798">
        <w:rPr>
          <w:rFonts w:cstheme="minorHAnsi"/>
          <w:sz w:val="22"/>
          <w:szCs w:val="22"/>
        </w:rPr>
        <w:t>os</w:t>
      </w:r>
      <w:proofErr w:type="spellEnd"/>
      <w:r w:rsidRPr="00FC7798">
        <w:rPr>
          <w:rFonts w:cstheme="minorHAnsi"/>
          <w:sz w:val="22"/>
          <w:szCs w:val="22"/>
        </w:rPr>
        <w:t xml:space="preserve"> </w:t>
      </w:r>
      <w:proofErr w:type="spellStart"/>
      <w:r w:rsidRPr="00FC7798">
        <w:rPr>
          <w:rFonts w:cstheme="minorHAnsi"/>
          <w:sz w:val="22"/>
          <w:szCs w:val="22"/>
        </w:rPr>
        <w:t>l</w:t>
      </w:r>
      <w:r w:rsidRPr="00FC7798">
        <w:rPr>
          <w:rFonts w:cstheme="minorHAnsi"/>
          <w:sz w:val="22"/>
          <w:szCs w:val="22"/>
        </w:rPr>
        <w:t>ucros</w:t>
      </w:r>
      <w:proofErr w:type="spellEnd"/>
      <w:r w:rsidRPr="00FC7798">
        <w:rPr>
          <w:rFonts w:cstheme="minorHAnsi"/>
          <w:sz w:val="22"/>
          <w:szCs w:val="22"/>
        </w:rPr>
        <w:t xml:space="preserve"> </w:t>
      </w:r>
      <w:proofErr w:type="spellStart"/>
      <w:r w:rsidRPr="00FC7798">
        <w:rPr>
          <w:rFonts w:cstheme="minorHAnsi"/>
          <w:sz w:val="22"/>
          <w:szCs w:val="22"/>
        </w:rPr>
        <w:t>cessantes</w:t>
      </w:r>
      <w:proofErr w:type="spellEnd"/>
      <w:r w:rsidRPr="00FC7798">
        <w:rPr>
          <w:rFonts w:cstheme="minorHAnsi"/>
          <w:sz w:val="22"/>
          <w:szCs w:val="22"/>
        </w:rPr>
        <w:t xml:space="preserve"> e </w:t>
      </w:r>
      <w:proofErr w:type="spellStart"/>
      <w:r w:rsidRPr="00FC7798">
        <w:rPr>
          <w:rFonts w:cstheme="minorHAnsi"/>
          <w:sz w:val="22"/>
          <w:szCs w:val="22"/>
        </w:rPr>
        <w:t>danos</w:t>
      </w:r>
      <w:proofErr w:type="spellEnd"/>
      <w:r w:rsidRPr="00FC7798">
        <w:rPr>
          <w:rFonts w:cstheme="minorHAnsi"/>
          <w:sz w:val="22"/>
          <w:szCs w:val="22"/>
        </w:rPr>
        <w:t xml:space="preserve"> </w:t>
      </w:r>
      <w:proofErr w:type="spellStart"/>
      <w:r w:rsidRPr="00FC7798">
        <w:rPr>
          <w:rFonts w:cstheme="minorHAnsi"/>
          <w:sz w:val="22"/>
          <w:szCs w:val="22"/>
        </w:rPr>
        <w:t>morais</w:t>
      </w:r>
      <w:proofErr w:type="spellEnd"/>
      <w:r w:rsidRPr="00FC7798">
        <w:rPr>
          <w:rFonts w:cstheme="minorHAnsi"/>
          <w:sz w:val="22"/>
          <w:szCs w:val="22"/>
        </w:rPr>
        <w:t xml:space="preserve">. </w:t>
      </w:r>
      <w:proofErr w:type="spellStart"/>
      <w:r w:rsidRPr="00FC7798">
        <w:rPr>
          <w:rFonts w:cstheme="minorHAnsi"/>
          <w:sz w:val="22"/>
          <w:szCs w:val="22"/>
        </w:rPr>
        <w:t>Contudo</w:t>
      </w:r>
      <w:proofErr w:type="spellEnd"/>
      <w:r w:rsidRPr="00FC7798">
        <w:rPr>
          <w:rFonts w:cstheme="minorHAnsi"/>
          <w:sz w:val="22"/>
          <w:szCs w:val="22"/>
        </w:rPr>
        <w:t xml:space="preserve"> a </w:t>
      </w:r>
      <w:proofErr w:type="spellStart"/>
      <w:r w:rsidRPr="00FC7798">
        <w:rPr>
          <w:rFonts w:cstheme="minorHAnsi"/>
          <w:sz w:val="22"/>
          <w:szCs w:val="22"/>
        </w:rPr>
        <w:t>decisão</w:t>
      </w:r>
      <w:proofErr w:type="spellEnd"/>
      <w:r w:rsidRPr="00FC7798">
        <w:rPr>
          <w:rFonts w:cstheme="minorHAnsi"/>
          <w:sz w:val="22"/>
          <w:szCs w:val="22"/>
        </w:rPr>
        <w:t xml:space="preserve"> de </w:t>
      </w:r>
      <w:proofErr w:type="spellStart"/>
      <w:r w:rsidRPr="00FC7798">
        <w:rPr>
          <w:rFonts w:cstheme="minorHAnsi"/>
          <w:sz w:val="22"/>
          <w:szCs w:val="22"/>
        </w:rPr>
        <w:t>segundo</w:t>
      </w:r>
      <w:proofErr w:type="spellEnd"/>
      <w:r w:rsidRPr="00FC7798">
        <w:rPr>
          <w:rFonts w:cstheme="minorHAnsi"/>
          <w:sz w:val="22"/>
          <w:szCs w:val="22"/>
        </w:rPr>
        <w:t xml:space="preserve"> </w:t>
      </w:r>
      <w:proofErr w:type="spellStart"/>
      <w:r w:rsidRPr="00FC7798">
        <w:rPr>
          <w:rFonts w:cstheme="minorHAnsi"/>
          <w:sz w:val="22"/>
          <w:szCs w:val="22"/>
        </w:rPr>
        <w:t>grau</w:t>
      </w:r>
      <w:proofErr w:type="spellEnd"/>
      <w:r w:rsidRPr="00FC7798">
        <w:rPr>
          <w:rFonts w:cstheme="minorHAnsi"/>
          <w:sz w:val="22"/>
          <w:szCs w:val="22"/>
        </w:rPr>
        <w:t xml:space="preserve">, </w:t>
      </w:r>
      <w:proofErr w:type="spellStart"/>
      <w:r w:rsidRPr="00FC7798">
        <w:rPr>
          <w:rFonts w:cstheme="minorHAnsi"/>
          <w:sz w:val="22"/>
          <w:szCs w:val="22"/>
        </w:rPr>
        <w:t>proferida</w:t>
      </w:r>
      <w:proofErr w:type="spellEnd"/>
      <w:r w:rsidRPr="00FC7798">
        <w:rPr>
          <w:rFonts w:cstheme="minorHAnsi"/>
          <w:sz w:val="22"/>
          <w:szCs w:val="22"/>
        </w:rPr>
        <w:t xml:space="preserve"> </w:t>
      </w:r>
      <w:proofErr w:type="spellStart"/>
      <w:r w:rsidRPr="00FC7798">
        <w:rPr>
          <w:rFonts w:cstheme="minorHAnsi"/>
          <w:sz w:val="22"/>
          <w:szCs w:val="22"/>
        </w:rPr>
        <w:t>pelo</w:t>
      </w:r>
      <w:proofErr w:type="spellEnd"/>
      <w:r w:rsidRPr="00FC7798">
        <w:rPr>
          <w:rFonts w:cstheme="minorHAnsi"/>
          <w:sz w:val="22"/>
          <w:szCs w:val="22"/>
        </w:rPr>
        <w:t xml:space="preserve"> Tribunal Regional Federal </w:t>
      </w:r>
      <w:r w:rsidRPr="00FC7798">
        <w:rPr>
          <w:rFonts w:cstheme="minorHAnsi"/>
          <w:sz w:val="22"/>
          <w:szCs w:val="22"/>
        </w:rPr>
        <w:t xml:space="preserve">da 4ª </w:t>
      </w:r>
      <w:proofErr w:type="spellStart"/>
      <w:r w:rsidRPr="00FC7798">
        <w:rPr>
          <w:rFonts w:cstheme="minorHAnsi"/>
          <w:sz w:val="22"/>
          <w:szCs w:val="22"/>
        </w:rPr>
        <w:t>Região</w:t>
      </w:r>
      <w:proofErr w:type="spellEnd"/>
      <w:r w:rsidRPr="00FC7798">
        <w:rPr>
          <w:rFonts w:cstheme="minorHAnsi"/>
          <w:sz w:val="22"/>
          <w:szCs w:val="22"/>
        </w:rPr>
        <w:t xml:space="preserve"> </w:t>
      </w:r>
      <w:proofErr w:type="spellStart"/>
      <w:r w:rsidRPr="00FC7798">
        <w:rPr>
          <w:rFonts w:cstheme="minorHAnsi"/>
          <w:sz w:val="22"/>
          <w:szCs w:val="22"/>
        </w:rPr>
        <w:t>não</w:t>
      </w:r>
      <w:proofErr w:type="spellEnd"/>
      <w:r w:rsidRPr="00FC7798">
        <w:rPr>
          <w:rFonts w:cstheme="minorHAnsi"/>
          <w:sz w:val="22"/>
          <w:szCs w:val="22"/>
        </w:rPr>
        <w:t xml:space="preserve"> </w:t>
      </w:r>
      <w:proofErr w:type="spellStart"/>
      <w:r w:rsidRPr="00FC7798">
        <w:rPr>
          <w:rFonts w:cstheme="minorHAnsi"/>
          <w:sz w:val="22"/>
          <w:szCs w:val="22"/>
        </w:rPr>
        <w:t>reconheceu</w:t>
      </w:r>
      <w:proofErr w:type="spellEnd"/>
      <w:r w:rsidRPr="00FC7798">
        <w:rPr>
          <w:rFonts w:cstheme="minorHAnsi"/>
          <w:sz w:val="22"/>
          <w:szCs w:val="22"/>
        </w:rPr>
        <w:t xml:space="preserve"> a </w:t>
      </w:r>
      <w:proofErr w:type="spellStart"/>
      <w:r w:rsidRPr="00FC7798">
        <w:rPr>
          <w:rFonts w:cstheme="minorHAnsi"/>
          <w:sz w:val="22"/>
          <w:szCs w:val="22"/>
        </w:rPr>
        <w:t>legitimidade</w:t>
      </w:r>
      <w:proofErr w:type="spellEnd"/>
      <w:r w:rsidRPr="00FC7798">
        <w:rPr>
          <w:rFonts w:cstheme="minorHAnsi"/>
          <w:sz w:val="22"/>
          <w:szCs w:val="22"/>
        </w:rPr>
        <w:t xml:space="preserve"> da CEF pa</w:t>
      </w:r>
      <w:r w:rsidRPr="00FC7798">
        <w:rPr>
          <w:rFonts w:cstheme="minorHAnsi"/>
          <w:sz w:val="22"/>
          <w:szCs w:val="22"/>
        </w:rPr>
        <w:t xml:space="preserve">ra responder </w:t>
      </w:r>
      <w:proofErr w:type="spellStart"/>
      <w:r w:rsidRPr="00FC7798">
        <w:rPr>
          <w:rFonts w:cstheme="minorHAnsi"/>
          <w:sz w:val="22"/>
          <w:szCs w:val="22"/>
        </w:rPr>
        <w:t>pelos</w:t>
      </w:r>
      <w:proofErr w:type="spellEnd"/>
      <w:r w:rsidRPr="00FC7798">
        <w:rPr>
          <w:rFonts w:cstheme="minorHAnsi"/>
          <w:sz w:val="22"/>
          <w:szCs w:val="22"/>
        </w:rPr>
        <w:t xml:space="preserve"> </w:t>
      </w:r>
      <w:proofErr w:type="spellStart"/>
      <w:r w:rsidRPr="00FC7798">
        <w:rPr>
          <w:rFonts w:cstheme="minorHAnsi"/>
          <w:sz w:val="22"/>
          <w:szCs w:val="22"/>
        </w:rPr>
        <w:t>danos</w:t>
      </w:r>
      <w:proofErr w:type="spellEnd"/>
      <w:r w:rsidRPr="00FC7798">
        <w:rPr>
          <w:rFonts w:cstheme="minorHAnsi"/>
          <w:sz w:val="22"/>
          <w:szCs w:val="22"/>
        </w:rPr>
        <w:t xml:space="preserve"> </w:t>
      </w:r>
      <w:proofErr w:type="spellStart"/>
      <w:r w:rsidRPr="00FC7798">
        <w:rPr>
          <w:rFonts w:cstheme="minorHAnsi"/>
          <w:sz w:val="22"/>
          <w:szCs w:val="22"/>
        </w:rPr>
        <w:t>materiais</w:t>
      </w:r>
      <w:proofErr w:type="spellEnd"/>
      <w:r w:rsidRPr="00FC7798">
        <w:rPr>
          <w:rFonts w:cstheme="minorHAnsi"/>
          <w:sz w:val="22"/>
          <w:szCs w:val="22"/>
        </w:rPr>
        <w:t xml:space="preserve"> e </w:t>
      </w:r>
      <w:proofErr w:type="spellStart"/>
      <w:r w:rsidRPr="00FC7798">
        <w:rPr>
          <w:rFonts w:cstheme="minorHAnsi"/>
          <w:sz w:val="22"/>
          <w:szCs w:val="22"/>
        </w:rPr>
        <w:t>morais</w:t>
      </w:r>
      <w:proofErr w:type="spellEnd"/>
      <w:r w:rsidRPr="00FC7798">
        <w:rPr>
          <w:rFonts w:cstheme="minorHAnsi"/>
          <w:sz w:val="22"/>
          <w:szCs w:val="22"/>
        </w:rPr>
        <w:t xml:space="preserve">. </w:t>
      </w:r>
      <w:proofErr w:type="spellStart"/>
      <w:r w:rsidRPr="00FC7798">
        <w:rPr>
          <w:rFonts w:cstheme="minorHAnsi"/>
          <w:sz w:val="22"/>
          <w:szCs w:val="22"/>
        </w:rPr>
        <w:t>Sendo</w:t>
      </w:r>
      <w:proofErr w:type="spellEnd"/>
      <w:r w:rsidRPr="00FC7798">
        <w:rPr>
          <w:rFonts w:cstheme="minorHAnsi"/>
          <w:sz w:val="22"/>
          <w:szCs w:val="22"/>
        </w:rPr>
        <w:t xml:space="preserve"> </w:t>
      </w:r>
      <w:proofErr w:type="spellStart"/>
      <w:r w:rsidRPr="00FC7798">
        <w:rPr>
          <w:rFonts w:cstheme="minorHAnsi"/>
          <w:sz w:val="22"/>
          <w:szCs w:val="22"/>
        </w:rPr>
        <w:t>opostos</w:t>
      </w:r>
      <w:proofErr w:type="spellEnd"/>
      <w:r w:rsidRPr="00FC7798">
        <w:rPr>
          <w:rFonts w:cstheme="minorHAnsi"/>
          <w:sz w:val="22"/>
          <w:szCs w:val="22"/>
        </w:rPr>
        <w:t xml:space="preserve"> Embargos de </w:t>
      </w:r>
      <w:proofErr w:type="spellStart"/>
      <w:r w:rsidRPr="00FC7798">
        <w:rPr>
          <w:rFonts w:cstheme="minorHAnsi"/>
          <w:sz w:val="22"/>
          <w:szCs w:val="22"/>
        </w:rPr>
        <w:t>Declaração</w:t>
      </w:r>
      <w:proofErr w:type="spellEnd"/>
      <w:r w:rsidRPr="00FC7798">
        <w:rPr>
          <w:rFonts w:cstheme="minorHAnsi"/>
          <w:sz w:val="22"/>
          <w:szCs w:val="22"/>
        </w:rPr>
        <w:t xml:space="preserve"> </w:t>
      </w:r>
      <w:proofErr w:type="spellStart"/>
      <w:r w:rsidRPr="00FC7798">
        <w:rPr>
          <w:rFonts w:cstheme="minorHAnsi"/>
          <w:sz w:val="22"/>
          <w:szCs w:val="22"/>
        </w:rPr>
        <w:t>Infringentes</w:t>
      </w:r>
      <w:proofErr w:type="spellEnd"/>
      <w:r w:rsidRPr="00FC7798">
        <w:rPr>
          <w:rFonts w:cstheme="minorHAnsi"/>
          <w:sz w:val="22"/>
          <w:szCs w:val="22"/>
        </w:rPr>
        <w:t xml:space="preserve"> </w:t>
      </w:r>
      <w:proofErr w:type="spellStart"/>
      <w:r w:rsidRPr="00FC7798">
        <w:rPr>
          <w:rFonts w:cstheme="minorHAnsi"/>
          <w:sz w:val="22"/>
          <w:szCs w:val="22"/>
        </w:rPr>
        <w:t>em</w:t>
      </w:r>
      <w:proofErr w:type="spellEnd"/>
      <w:r w:rsidRPr="00FC7798">
        <w:rPr>
          <w:rFonts w:cstheme="minorHAnsi"/>
          <w:sz w:val="22"/>
          <w:szCs w:val="22"/>
        </w:rPr>
        <w:t xml:space="preserve"> face da </w:t>
      </w:r>
      <w:proofErr w:type="spellStart"/>
      <w:r w:rsidRPr="00FC7798">
        <w:rPr>
          <w:rFonts w:cstheme="minorHAnsi"/>
          <w:sz w:val="22"/>
          <w:szCs w:val="22"/>
        </w:rPr>
        <w:t>decisão</w:t>
      </w:r>
      <w:proofErr w:type="spellEnd"/>
      <w:r w:rsidRPr="00FC7798">
        <w:rPr>
          <w:rFonts w:cstheme="minorHAnsi"/>
          <w:sz w:val="22"/>
          <w:szCs w:val="22"/>
        </w:rPr>
        <w:t xml:space="preserve"> </w:t>
      </w:r>
      <w:proofErr w:type="spellStart"/>
      <w:r w:rsidRPr="00FC7798">
        <w:rPr>
          <w:rFonts w:cstheme="minorHAnsi"/>
          <w:sz w:val="22"/>
          <w:szCs w:val="22"/>
        </w:rPr>
        <w:t>proferida</w:t>
      </w:r>
      <w:proofErr w:type="spellEnd"/>
      <w:r w:rsidRPr="00FC7798">
        <w:rPr>
          <w:rFonts w:cstheme="minorHAnsi"/>
          <w:sz w:val="22"/>
          <w:szCs w:val="22"/>
        </w:rPr>
        <w:t xml:space="preserve"> </w:t>
      </w:r>
      <w:proofErr w:type="spellStart"/>
      <w:r w:rsidRPr="00FC7798">
        <w:rPr>
          <w:rFonts w:cstheme="minorHAnsi"/>
          <w:sz w:val="22"/>
          <w:szCs w:val="22"/>
        </w:rPr>
        <w:t>pelo</w:t>
      </w:r>
      <w:proofErr w:type="spellEnd"/>
      <w:r w:rsidRPr="00FC7798">
        <w:rPr>
          <w:rFonts w:cstheme="minorHAnsi"/>
          <w:sz w:val="22"/>
          <w:szCs w:val="22"/>
        </w:rPr>
        <w:t xml:space="preserve"> TRF4 o </w:t>
      </w:r>
      <w:proofErr w:type="spellStart"/>
      <w:r w:rsidRPr="00FC7798">
        <w:rPr>
          <w:rFonts w:cstheme="minorHAnsi"/>
          <w:sz w:val="22"/>
          <w:szCs w:val="22"/>
        </w:rPr>
        <w:t>qual</w:t>
      </w:r>
      <w:proofErr w:type="spellEnd"/>
      <w:r w:rsidRPr="00FC7798">
        <w:rPr>
          <w:rFonts w:cstheme="minorHAnsi"/>
          <w:sz w:val="22"/>
          <w:szCs w:val="22"/>
        </w:rPr>
        <w:t xml:space="preserve"> </w:t>
      </w:r>
      <w:proofErr w:type="spellStart"/>
      <w:r w:rsidRPr="00FC7798">
        <w:rPr>
          <w:rFonts w:cstheme="minorHAnsi"/>
          <w:sz w:val="22"/>
          <w:szCs w:val="22"/>
        </w:rPr>
        <w:t>não</w:t>
      </w:r>
      <w:proofErr w:type="spellEnd"/>
      <w:r w:rsidRPr="00FC7798">
        <w:rPr>
          <w:rFonts w:cstheme="minorHAnsi"/>
          <w:sz w:val="22"/>
          <w:szCs w:val="22"/>
        </w:rPr>
        <w:t xml:space="preserve"> </w:t>
      </w:r>
      <w:proofErr w:type="spellStart"/>
      <w:r w:rsidRPr="00FC7798">
        <w:rPr>
          <w:rFonts w:cstheme="minorHAnsi"/>
          <w:sz w:val="22"/>
          <w:szCs w:val="22"/>
        </w:rPr>
        <w:t>foi</w:t>
      </w:r>
      <w:proofErr w:type="spellEnd"/>
      <w:r w:rsidRPr="00FC7798">
        <w:rPr>
          <w:rFonts w:cstheme="minorHAnsi"/>
          <w:sz w:val="22"/>
          <w:szCs w:val="22"/>
        </w:rPr>
        <w:t xml:space="preserve"> </w:t>
      </w:r>
      <w:proofErr w:type="spellStart"/>
      <w:r w:rsidRPr="00FC7798">
        <w:rPr>
          <w:rFonts w:cstheme="minorHAnsi"/>
          <w:sz w:val="22"/>
          <w:szCs w:val="22"/>
        </w:rPr>
        <w:t>acolhido</w:t>
      </w:r>
      <w:proofErr w:type="spellEnd"/>
      <w:r w:rsidRPr="00FC7798">
        <w:rPr>
          <w:rFonts w:cstheme="minorHAnsi"/>
          <w:sz w:val="22"/>
          <w:szCs w:val="22"/>
        </w:rPr>
        <w:t>.</w:t>
      </w:r>
    </w:p>
    <w:p w14:paraId="22C240A5" w14:textId="77777777" w:rsidR="00FC7798" w:rsidRPr="002246D0" w:rsidRDefault="00FC7798" w:rsidP="00FC7798">
      <w:pPr>
        <w:pStyle w:val="PargrafodaLista"/>
        <w:ind w:right="426"/>
        <w:jc w:val="both"/>
        <w:rPr>
          <w:rFonts w:cstheme="minorHAnsi"/>
          <w:sz w:val="22"/>
          <w:szCs w:val="22"/>
        </w:rPr>
      </w:pPr>
    </w:p>
    <w:p w14:paraId="594FC948" w14:textId="10DD9ED9" w:rsidR="0004661C" w:rsidRDefault="003E11A0" w:rsidP="00396D72">
      <w:pPr>
        <w:pStyle w:val="PargrafodaLista"/>
        <w:tabs>
          <w:tab w:val="left" w:pos="709"/>
        </w:tabs>
        <w:spacing w:line="320" w:lineRule="exact"/>
        <w:ind w:left="0" w:right="426"/>
        <w:jc w:val="both"/>
        <w:rPr>
          <w:rFonts w:cstheme="minorHAnsi"/>
          <w:sz w:val="22"/>
          <w:szCs w:val="22"/>
          <w:lang w:val="pt-BR"/>
        </w:rPr>
      </w:pPr>
      <w:r w:rsidRPr="002246D0">
        <w:rPr>
          <w:rFonts w:cstheme="minorHAnsi"/>
          <w:sz w:val="22"/>
          <w:szCs w:val="22"/>
        </w:rPr>
        <w:tab/>
      </w:r>
      <w:r w:rsidR="00FC7798">
        <w:rPr>
          <w:rFonts w:cstheme="minorHAnsi"/>
          <w:sz w:val="22"/>
          <w:szCs w:val="22"/>
          <w:lang w:val="pt-BR"/>
        </w:rPr>
        <w:t xml:space="preserve">Consoante </w:t>
      </w:r>
      <w:proofErr w:type="gramStart"/>
      <w:r w:rsidR="00FC7798">
        <w:rPr>
          <w:rFonts w:cstheme="minorHAnsi"/>
          <w:sz w:val="22"/>
          <w:szCs w:val="22"/>
          <w:lang w:val="pt-BR"/>
        </w:rPr>
        <w:t>à</w:t>
      </w:r>
      <w:proofErr w:type="gramEnd"/>
      <w:r w:rsidR="00FC7798">
        <w:rPr>
          <w:rFonts w:cstheme="minorHAnsi"/>
          <w:sz w:val="22"/>
          <w:szCs w:val="22"/>
          <w:lang w:val="pt-BR"/>
        </w:rPr>
        <w:t xml:space="preserve"> isso, nota-se que a parte Autora está com um mero inconformismo, </w:t>
      </w:r>
      <w:r w:rsidR="0004661C" w:rsidRPr="002246D0">
        <w:rPr>
          <w:rFonts w:cstheme="minorHAnsi"/>
          <w:sz w:val="22"/>
          <w:szCs w:val="22"/>
          <w:lang w:val="pt-BR"/>
        </w:rPr>
        <w:t>Ocorre que não merece prosperar a irresignação autoral, mormente por não</w:t>
      </w:r>
      <w:r w:rsidR="001F73C4" w:rsidRPr="002246D0">
        <w:rPr>
          <w:rFonts w:cstheme="minorHAnsi"/>
          <w:sz w:val="22"/>
          <w:szCs w:val="22"/>
          <w:lang w:val="pt-BR"/>
        </w:rPr>
        <w:t xml:space="preserve"> haver previsão contratual, tampouco legal para o pleito de danos materiais, muito menos</w:t>
      </w:r>
      <w:r w:rsidR="0004661C" w:rsidRPr="002246D0">
        <w:rPr>
          <w:rFonts w:cstheme="minorHAnsi"/>
          <w:sz w:val="22"/>
          <w:szCs w:val="22"/>
          <w:lang w:val="pt-BR"/>
        </w:rPr>
        <w:t xml:space="preserve"> ter havido qualquer ato ilícito da parte </w:t>
      </w:r>
      <w:r w:rsidR="003C3A10">
        <w:rPr>
          <w:rFonts w:cstheme="minorHAnsi"/>
          <w:sz w:val="22"/>
          <w:szCs w:val="22"/>
          <w:lang w:val="pt-BR"/>
        </w:rPr>
        <w:t>recorrida</w:t>
      </w:r>
      <w:r w:rsidR="001F73C4" w:rsidRPr="002246D0">
        <w:rPr>
          <w:rFonts w:cstheme="minorHAnsi"/>
          <w:sz w:val="22"/>
          <w:szCs w:val="22"/>
          <w:lang w:val="pt-BR"/>
        </w:rPr>
        <w:t xml:space="preserve"> que justifique compensação moral</w:t>
      </w:r>
      <w:r w:rsidR="00FC7798">
        <w:rPr>
          <w:rFonts w:cstheme="minorHAnsi"/>
          <w:sz w:val="22"/>
          <w:szCs w:val="22"/>
          <w:lang w:val="pt-BR"/>
        </w:rPr>
        <w:t>, além do que, a Caixa não tem legitimidade para estar nos autos</w:t>
      </w:r>
      <w:r w:rsidR="0004661C" w:rsidRPr="002246D0">
        <w:rPr>
          <w:rFonts w:cstheme="minorHAnsi"/>
          <w:sz w:val="22"/>
          <w:szCs w:val="22"/>
          <w:lang w:val="pt-BR"/>
        </w:rPr>
        <w:t xml:space="preserve">. </w:t>
      </w:r>
    </w:p>
    <w:p w14:paraId="64E9A758" w14:textId="77777777" w:rsidR="0004661C" w:rsidRPr="002246D0" w:rsidRDefault="0004661C" w:rsidP="00396D72">
      <w:pPr>
        <w:tabs>
          <w:tab w:val="left" w:pos="709"/>
        </w:tabs>
        <w:spacing w:line="320" w:lineRule="exact"/>
        <w:ind w:right="426"/>
        <w:jc w:val="both"/>
        <w:rPr>
          <w:rFonts w:asciiTheme="minorHAnsi" w:hAnsiTheme="minorHAnsi" w:cstheme="minorHAnsi"/>
        </w:rPr>
      </w:pPr>
    </w:p>
    <w:p w14:paraId="43F4BDFF" w14:textId="46110E32" w:rsidR="0004661C" w:rsidRPr="002246D0" w:rsidRDefault="003E11A0" w:rsidP="00396D72">
      <w:pPr>
        <w:pStyle w:val="PargrafodaLista"/>
        <w:tabs>
          <w:tab w:val="left" w:pos="709"/>
        </w:tabs>
        <w:spacing w:line="320" w:lineRule="exact"/>
        <w:ind w:left="0" w:right="426"/>
        <w:jc w:val="both"/>
        <w:rPr>
          <w:rFonts w:cstheme="minorHAnsi"/>
          <w:sz w:val="22"/>
          <w:szCs w:val="22"/>
          <w:lang w:val="pt-BR"/>
        </w:rPr>
      </w:pPr>
      <w:r w:rsidRPr="002246D0">
        <w:rPr>
          <w:rFonts w:cstheme="minorHAnsi"/>
          <w:sz w:val="22"/>
          <w:szCs w:val="22"/>
          <w:lang w:val="pt-BR"/>
        </w:rPr>
        <w:tab/>
      </w:r>
      <w:r w:rsidR="0004661C" w:rsidRPr="002246D0">
        <w:rPr>
          <w:rFonts w:cstheme="minorHAnsi"/>
          <w:sz w:val="22"/>
          <w:szCs w:val="22"/>
          <w:lang w:val="pt-BR"/>
        </w:rPr>
        <w:t>Ademais, conforme restará comprovado na análise do recurso interposto pela Caixa Econômica Federal, esta sequer é parte legítima para responder aos pedidos deduzidos em juízo, mormente por figurar como MERA FINANCIADORA.</w:t>
      </w:r>
      <w:r w:rsidR="001F73C4" w:rsidRPr="002246D0">
        <w:rPr>
          <w:rFonts w:cstheme="minorHAnsi"/>
          <w:sz w:val="22"/>
          <w:szCs w:val="22"/>
          <w:lang w:val="pt-BR"/>
        </w:rPr>
        <w:t xml:space="preserve"> </w:t>
      </w:r>
    </w:p>
    <w:p w14:paraId="2A42667F" w14:textId="77777777" w:rsidR="0004661C" w:rsidRPr="002246D0" w:rsidRDefault="0004661C" w:rsidP="00396D72">
      <w:pPr>
        <w:pStyle w:val="PargrafodaLista"/>
        <w:ind w:right="426"/>
        <w:rPr>
          <w:rFonts w:cstheme="minorHAnsi"/>
          <w:sz w:val="22"/>
          <w:szCs w:val="22"/>
        </w:rPr>
      </w:pPr>
    </w:p>
    <w:p w14:paraId="1DFF841D" w14:textId="77777777" w:rsidR="002246D0" w:rsidRDefault="002246D0" w:rsidP="00755273">
      <w:pPr>
        <w:spacing w:line="360" w:lineRule="auto"/>
        <w:jc w:val="center"/>
        <w:rPr>
          <w:rFonts w:asciiTheme="minorHAnsi" w:hAnsiTheme="minorHAnsi" w:cstheme="minorHAnsi"/>
        </w:rPr>
      </w:pPr>
    </w:p>
    <w:p w14:paraId="3ADFC929" w14:textId="77777777" w:rsidR="002246D0" w:rsidRPr="00CC67DC" w:rsidRDefault="002246D0" w:rsidP="002246D0">
      <w:pPr>
        <w:spacing w:line="360" w:lineRule="auto"/>
        <w:jc w:val="both"/>
        <w:rPr>
          <w:rFonts w:cs="Calibri"/>
          <w:b/>
        </w:rPr>
      </w:pPr>
      <w:r>
        <w:rPr>
          <w:rFonts w:eastAsia="Times New Roman" w:cs="Calibri"/>
          <w:b/>
          <w:sz w:val="24"/>
          <w:szCs w:val="24"/>
          <w:lang w:eastAsia="pt-BR"/>
        </w:rPr>
        <w:t>- DA ILEGITIMIDADE PASSIVA DA CAIXA</w:t>
      </w:r>
    </w:p>
    <w:p w14:paraId="3634FF77" w14:textId="48F9252E" w:rsidR="002246D0" w:rsidRPr="003C3A10" w:rsidRDefault="002246D0" w:rsidP="002246D0">
      <w:pPr>
        <w:pStyle w:val="PargrafodaLista"/>
        <w:spacing w:line="360" w:lineRule="auto"/>
        <w:ind w:left="0" w:firstLine="1701"/>
        <w:jc w:val="both"/>
        <w:rPr>
          <w:rFonts w:ascii="Calibri" w:hAnsi="Calibri" w:cs="Calibri"/>
          <w:bCs/>
          <w:lang w:val="pt-BR"/>
        </w:rPr>
      </w:pPr>
      <w:r w:rsidRPr="003C3A10">
        <w:rPr>
          <w:rFonts w:ascii="Calibri" w:hAnsi="Calibri" w:cs="Calibri"/>
          <w:bCs/>
          <w:lang w:val="pt-BR"/>
        </w:rPr>
        <w:t>Inicialmente, é importante delimitar a pretensão apresentada contra a CAIXA e o fundamento da responsabilidade atribuída à R</w:t>
      </w:r>
      <w:r w:rsidR="003C3A10">
        <w:rPr>
          <w:rFonts w:ascii="Calibri" w:hAnsi="Calibri" w:cs="Calibri"/>
          <w:bCs/>
          <w:lang w:val="pt-BR"/>
        </w:rPr>
        <w:t>ecorrida</w:t>
      </w:r>
      <w:r w:rsidRPr="003C3A10">
        <w:rPr>
          <w:rFonts w:ascii="Calibri" w:hAnsi="Calibri" w:cs="Calibri"/>
          <w:bCs/>
          <w:lang w:val="pt-BR"/>
        </w:rPr>
        <w:t>.</w:t>
      </w:r>
    </w:p>
    <w:p w14:paraId="2A393C58" w14:textId="77777777" w:rsidR="002246D0" w:rsidRDefault="002246D0" w:rsidP="002246D0">
      <w:pPr>
        <w:spacing w:line="360" w:lineRule="auto"/>
        <w:ind w:firstLine="1701"/>
        <w:jc w:val="both"/>
        <w:rPr>
          <w:rFonts w:cs="Calibri"/>
          <w:b/>
          <w:sz w:val="24"/>
          <w:szCs w:val="24"/>
        </w:rPr>
      </w:pPr>
    </w:p>
    <w:p w14:paraId="31CD0B3A" w14:textId="2DC6733F" w:rsidR="002246D0" w:rsidRPr="009B2A7D" w:rsidRDefault="002246D0" w:rsidP="002246D0">
      <w:pPr>
        <w:spacing w:line="360" w:lineRule="auto"/>
        <w:ind w:firstLine="1701"/>
        <w:jc w:val="both"/>
        <w:rPr>
          <w:rFonts w:cs="Calibri"/>
          <w:b/>
          <w:sz w:val="24"/>
          <w:szCs w:val="24"/>
        </w:rPr>
      </w:pPr>
      <w:r w:rsidRPr="0025366B">
        <w:rPr>
          <w:rFonts w:cs="Calibri"/>
          <w:b/>
          <w:sz w:val="24"/>
          <w:szCs w:val="24"/>
        </w:rPr>
        <w:t xml:space="preserve">Conforme </w:t>
      </w:r>
      <w:r w:rsidR="00FC7798">
        <w:rPr>
          <w:rFonts w:cs="Calibri"/>
          <w:b/>
          <w:sz w:val="24"/>
          <w:szCs w:val="24"/>
        </w:rPr>
        <w:t xml:space="preserve">já </w:t>
      </w:r>
      <w:r w:rsidRPr="0025366B">
        <w:rPr>
          <w:rFonts w:cs="Calibri"/>
          <w:b/>
          <w:sz w:val="24"/>
          <w:szCs w:val="24"/>
        </w:rPr>
        <w:t>narra</w:t>
      </w:r>
      <w:r w:rsidR="00FC7798">
        <w:rPr>
          <w:rFonts w:cs="Calibri"/>
          <w:b/>
          <w:sz w:val="24"/>
          <w:szCs w:val="24"/>
        </w:rPr>
        <w:t xml:space="preserve">do anteriormente, a Caixa não tem legitimidade para figurar nos autos, a </w:t>
      </w:r>
      <w:r>
        <w:rPr>
          <w:rFonts w:cs="Calibri"/>
          <w:b/>
          <w:sz w:val="24"/>
          <w:szCs w:val="24"/>
        </w:rPr>
        <w:t>parte autora justifica seu pleito em razão de um suposto atraso da entrega do imóvel</w:t>
      </w:r>
      <w:r w:rsidR="00FC7798">
        <w:rPr>
          <w:rFonts w:cs="Calibri"/>
          <w:b/>
          <w:sz w:val="24"/>
          <w:szCs w:val="24"/>
        </w:rPr>
        <w:t xml:space="preserve">, mas já </w:t>
      </w:r>
      <w:r w:rsidR="00FC7798">
        <w:rPr>
          <w:rFonts w:cs="Calibri"/>
          <w:b/>
          <w:sz w:val="24"/>
          <w:szCs w:val="24"/>
        </w:rPr>
        <w:lastRenderedPageBreak/>
        <w:t>teve decisão favorável a Caixa ao que tange a Improcedência e a Ilegitimidade, não restando mais o que ser discutido.</w:t>
      </w:r>
      <w:r w:rsidR="00FC7798" w:rsidRPr="009B2A7D">
        <w:rPr>
          <w:rFonts w:cs="Calibri"/>
          <w:b/>
          <w:sz w:val="24"/>
          <w:szCs w:val="24"/>
        </w:rPr>
        <w:t xml:space="preserve"> </w:t>
      </w:r>
    </w:p>
    <w:p w14:paraId="22347455" w14:textId="77777777" w:rsidR="002246D0" w:rsidRDefault="002246D0" w:rsidP="002246D0">
      <w:pPr>
        <w:spacing w:line="360" w:lineRule="auto"/>
        <w:ind w:firstLine="1701"/>
        <w:jc w:val="both"/>
        <w:rPr>
          <w:rFonts w:cs="Calibri"/>
          <w:b/>
          <w:sz w:val="24"/>
          <w:szCs w:val="24"/>
        </w:rPr>
      </w:pPr>
    </w:p>
    <w:p w14:paraId="5D85B94E" w14:textId="3140091C" w:rsidR="002246D0" w:rsidRPr="00FC7798" w:rsidRDefault="002246D0" w:rsidP="00FC7798">
      <w:pPr>
        <w:spacing w:line="360" w:lineRule="auto"/>
        <w:ind w:firstLine="1701"/>
        <w:jc w:val="both"/>
        <w:rPr>
          <w:rFonts w:cs="Calibri"/>
          <w:bCs/>
          <w:sz w:val="24"/>
          <w:szCs w:val="24"/>
        </w:rPr>
      </w:pPr>
      <w:r>
        <w:rPr>
          <w:rFonts w:cs="Calibri"/>
          <w:bCs/>
          <w:sz w:val="24"/>
          <w:szCs w:val="24"/>
        </w:rPr>
        <w:t>Prosseguindo, a</w:t>
      </w:r>
      <w:r w:rsidRPr="0025366B">
        <w:rPr>
          <w:rFonts w:cs="Calibri"/>
          <w:bCs/>
          <w:sz w:val="24"/>
          <w:szCs w:val="24"/>
        </w:rPr>
        <w:t xml:space="preserve">firma que </w:t>
      </w:r>
      <w:r>
        <w:rPr>
          <w:rFonts w:cs="Calibri"/>
          <w:bCs/>
          <w:sz w:val="24"/>
          <w:szCs w:val="24"/>
        </w:rPr>
        <w:t>a</w:t>
      </w:r>
      <w:r w:rsidRPr="0025366B">
        <w:rPr>
          <w:rFonts w:cs="Calibri"/>
          <w:bCs/>
          <w:sz w:val="24"/>
          <w:szCs w:val="24"/>
        </w:rPr>
        <w:t xml:space="preserve"> obrigação deveria ser cumprida por meio da celebração de contrato de produção de empreendimento, com financiamento do PMCMV</w:t>
      </w:r>
      <w:r>
        <w:rPr>
          <w:rFonts w:cs="Calibri"/>
          <w:bCs/>
          <w:sz w:val="24"/>
          <w:szCs w:val="24"/>
        </w:rPr>
        <w:t xml:space="preserve"> – FAIXA I - FDS</w:t>
      </w:r>
      <w:r w:rsidRPr="0025366B">
        <w:rPr>
          <w:rFonts w:cs="Calibri"/>
          <w:bCs/>
          <w:sz w:val="24"/>
          <w:szCs w:val="24"/>
        </w:rPr>
        <w:t xml:space="preserve"> a ser firmado pela CAIXA com construtora que disponha de capacidades técnica e econômica </w:t>
      </w:r>
      <w:r>
        <w:rPr>
          <w:rFonts w:cs="Calibri"/>
          <w:bCs/>
          <w:sz w:val="24"/>
          <w:szCs w:val="24"/>
        </w:rPr>
        <w:t>e</w:t>
      </w:r>
      <w:r w:rsidRPr="0025366B">
        <w:rPr>
          <w:rFonts w:cs="Calibri"/>
          <w:bCs/>
          <w:sz w:val="24"/>
          <w:szCs w:val="24"/>
        </w:rPr>
        <w:t xml:space="preserve"> com uso, para tanto, dos recursos do FDS.</w:t>
      </w:r>
    </w:p>
    <w:p w14:paraId="6E22BAC0" w14:textId="77777777" w:rsidR="002246D0" w:rsidRPr="00B71374" w:rsidRDefault="002246D0" w:rsidP="002246D0">
      <w:pPr>
        <w:spacing w:line="360" w:lineRule="auto"/>
        <w:ind w:firstLine="1701"/>
        <w:jc w:val="both"/>
        <w:rPr>
          <w:rFonts w:cs="Calibri"/>
          <w:bCs/>
          <w:sz w:val="24"/>
          <w:szCs w:val="24"/>
        </w:rPr>
      </w:pPr>
      <w:r w:rsidRPr="00B71374">
        <w:rPr>
          <w:rFonts w:cs="Calibri"/>
          <w:bCs/>
          <w:sz w:val="24"/>
          <w:szCs w:val="24"/>
        </w:rPr>
        <w:t xml:space="preserve">Ainda no que se refere especificamente à responsabilidade atribuída à CAIXA, alega que a </w:t>
      </w:r>
      <w:r>
        <w:rPr>
          <w:rFonts w:cs="Calibri"/>
          <w:bCs/>
          <w:sz w:val="24"/>
          <w:szCs w:val="24"/>
        </w:rPr>
        <w:t>Caixa</w:t>
      </w:r>
      <w:r w:rsidRPr="00B71374">
        <w:rPr>
          <w:rFonts w:cs="Calibri"/>
          <w:bCs/>
          <w:sz w:val="24"/>
          <w:szCs w:val="24"/>
        </w:rPr>
        <w:t xml:space="preserve"> seria responsável pela execução da política pública habitacional e teria sido omissa nos cuidados na liberação de recursos.</w:t>
      </w:r>
    </w:p>
    <w:p w14:paraId="45635AA6" w14:textId="77777777" w:rsidR="002246D0" w:rsidRPr="00B71374" w:rsidRDefault="002246D0" w:rsidP="002246D0">
      <w:pPr>
        <w:spacing w:line="360" w:lineRule="auto"/>
        <w:ind w:firstLine="1701"/>
        <w:jc w:val="both"/>
        <w:rPr>
          <w:rFonts w:cs="Calibri"/>
          <w:bCs/>
          <w:sz w:val="24"/>
          <w:szCs w:val="24"/>
        </w:rPr>
      </w:pPr>
    </w:p>
    <w:p w14:paraId="0F9978BC" w14:textId="77777777" w:rsidR="002246D0" w:rsidRDefault="002246D0" w:rsidP="002246D0">
      <w:pPr>
        <w:spacing w:line="360" w:lineRule="auto"/>
        <w:ind w:firstLine="1701"/>
        <w:jc w:val="both"/>
        <w:rPr>
          <w:rFonts w:cs="Calibri"/>
          <w:sz w:val="24"/>
          <w:szCs w:val="24"/>
        </w:rPr>
      </w:pPr>
      <w:r>
        <w:rPr>
          <w:rFonts w:cs="Calibri"/>
          <w:sz w:val="24"/>
          <w:szCs w:val="24"/>
        </w:rPr>
        <w:t>Alega que há responsabilidade solidária desta empresa pública para com a Entidade Organizadora, em razão do termo de cooperação, de modo que a CAIXA deve arcar com a indenização a título de lucros cessantes, danos materiais e mesmo danos morais!</w:t>
      </w:r>
    </w:p>
    <w:p w14:paraId="0DB98364" w14:textId="77777777" w:rsidR="002246D0" w:rsidRPr="00B71374" w:rsidRDefault="002246D0" w:rsidP="002246D0">
      <w:pPr>
        <w:spacing w:line="360" w:lineRule="auto"/>
        <w:ind w:firstLine="1701"/>
        <w:jc w:val="both"/>
        <w:rPr>
          <w:rFonts w:cs="Calibri"/>
          <w:sz w:val="24"/>
          <w:szCs w:val="24"/>
        </w:rPr>
      </w:pPr>
    </w:p>
    <w:p w14:paraId="20F2448F" w14:textId="5BE38269" w:rsidR="002246D0" w:rsidRPr="00B71374" w:rsidRDefault="002246D0" w:rsidP="002246D0">
      <w:pPr>
        <w:spacing w:line="360" w:lineRule="auto"/>
        <w:ind w:firstLine="1701"/>
        <w:jc w:val="both"/>
        <w:rPr>
          <w:rFonts w:cs="Calibri"/>
          <w:b/>
          <w:sz w:val="24"/>
          <w:szCs w:val="24"/>
        </w:rPr>
      </w:pPr>
      <w:r w:rsidRPr="00B71374">
        <w:rPr>
          <w:rFonts w:cs="Calibri"/>
          <w:b/>
          <w:sz w:val="24"/>
          <w:szCs w:val="24"/>
        </w:rPr>
        <w:t xml:space="preserve">Contudo, os argumentos não prosperam, seja porque a alegada omissão da CAIXA não corresponde à verdade, seja porque os argumentos demonstram desconhecimento do </w:t>
      </w:r>
      <w:r w:rsidR="003C3A10">
        <w:rPr>
          <w:rFonts w:cs="Calibri"/>
          <w:b/>
          <w:sz w:val="24"/>
          <w:szCs w:val="24"/>
        </w:rPr>
        <w:t>recorrente</w:t>
      </w:r>
      <w:r w:rsidRPr="00B71374">
        <w:rPr>
          <w:rFonts w:cs="Calibri"/>
          <w:b/>
          <w:sz w:val="24"/>
          <w:szCs w:val="24"/>
        </w:rPr>
        <w:t xml:space="preserve">, em relação à </w:t>
      </w:r>
      <w:r w:rsidRPr="00AA491B">
        <w:rPr>
          <w:rFonts w:cs="Calibri"/>
          <w:b/>
          <w:sz w:val="24"/>
          <w:szCs w:val="24"/>
          <w:u w:val="single"/>
        </w:rPr>
        <w:t>regulamentação do PMCMV – FAIXA I –</w:t>
      </w:r>
      <w:r w:rsidRPr="00B71374">
        <w:rPr>
          <w:rFonts w:cs="Calibri"/>
          <w:b/>
          <w:sz w:val="24"/>
          <w:szCs w:val="24"/>
        </w:rPr>
        <w:t xml:space="preserve"> </w:t>
      </w:r>
      <w:r w:rsidRPr="00B71374">
        <w:rPr>
          <w:rFonts w:cs="Calibri"/>
          <w:b/>
          <w:sz w:val="24"/>
          <w:szCs w:val="24"/>
          <w:u w:val="single"/>
        </w:rPr>
        <w:t>Entidades</w:t>
      </w:r>
      <w:r w:rsidRPr="00B71374">
        <w:rPr>
          <w:rFonts w:cs="Calibri"/>
          <w:b/>
          <w:sz w:val="24"/>
          <w:szCs w:val="24"/>
        </w:rPr>
        <w:t>.</w:t>
      </w:r>
    </w:p>
    <w:p w14:paraId="093CE264" w14:textId="77777777" w:rsidR="002246D0" w:rsidRDefault="002246D0" w:rsidP="002246D0">
      <w:pPr>
        <w:spacing w:line="360" w:lineRule="auto"/>
        <w:ind w:firstLine="1701"/>
        <w:jc w:val="both"/>
        <w:rPr>
          <w:rFonts w:cs="Calibri"/>
          <w:b/>
          <w:sz w:val="24"/>
          <w:szCs w:val="24"/>
        </w:rPr>
      </w:pPr>
    </w:p>
    <w:p w14:paraId="7FC5D1E4" w14:textId="69B90A95" w:rsidR="002246D0" w:rsidRDefault="002246D0" w:rsidP="002246D0">
      <w:pPr>
        <w:spacing w:line="360" w:lineRule="auto"/>
        <w:ind w:firstLine="1701"/>
        <w:jc w:val="both"/>
        <w:rPr>
          <w:rFonts w:cs="Calibri"/>
          <w:b/>
          <w:sz w:val="24"/>
          <w:szCs w:val="24"/>
        </w:rPr>
      </w:pPr>
      <w:r>
        <w:rPr>
          <w:rFonts w:cs="Calibri"/>
          <w:b/>
          <w:sz w:val="24"/>
          <w:szCs w:val="24"/>
        </w:rPr>
        <w:t>De início</w:t>
      </w:r>
      <w:r w:rsidRPr="00521DDC">
        <w:rPr>
          <w:rFonts w:cs="Calibri"/>
          <w:b/>
          <w:sz w:val="24"/>
          <w:szCs w:val="24"/>
        </w:rPr>
        <w:t>,</w:t>
      </w:r>
      <w:r>
        <w:rPr>
          <w:rFonts w:cs="Calibri"/>
          <w:b/>
          <w:sz w:val="24"/>
          <w:szCs w:val="24"/>
        </w:rPr>
        <w:t xml:space="preserve"> é de se destacar que</w:t>
      </w:r>
      <w:r w:rsidRPr="00521DDC">
        <w:rPr>
          <w:rFonts w:cs="Calibri"/>
          <w:b/>
          <w:sz w:val="24"/>
          <w:szCs w:val="24"/>
        </w:rPr>
        <w:t xml:space="preserve"> a CAIXA não tem atribuição, dentro do Programa Minha Casa Minha Vida - </w:t>
      </w:r>
      <w:r w:rsidRPr="00B71374">
        <w:rPr>
          <w:rFonts w:cs="Calibri"/>
          <w:b/>
          <w:sz w:val="24"/>
          <w:szCs w:val="24"/>
          <w:u w:val="single"/>
        </w:rPr>
        <w:t>Entidades</w:t>
      </w:r>
      <w:r w:rsidRPr="00521DDC">
        <w:rPr>
          <w:rFonts w:cs="Calibri"/>
          <w:b/>
          <w:sz w:val="24"/>
          <w:szCs w:val="24"/>
        </w:rPr>
        <w:t xml:space="preserve">, para proceder com a contratação de outra Construtora </w:t>
      </w:r>
      <w:r>
        <w:rPr>
          <w:rFonts w:cs="Calibri"/>
          <w:b/>
          <w:sz w:val="24"/>
          <w:szCs w:val="24"/>
        </w:rPr>
        <w:t xml:space="preserve">e nem muito menos </w:t>
      </w:r>
      <w:r w:rsidRPr="00521DDC">
        <w:rPr>
          <w:rFonts w:cs="Calibri"/>
          <w:b/>
          <w:sz w:val="24"/>
          <w:szCs w:val="24"/>
        </w:rPr>
        <w:t>para retomar as obras</w:t>
      </w:r>
      <w:r>
        <w:rPr>
          <w:rFonts w:cs="Calibri"/>
          <w:b/>
          <w:sz w:val="24"/>
          <w:szCs w:val="24"/>
        </w:rPr>
        <w:t xml:space="preserve">. </w:t>
      </w:r>
      <w:r w:rsidRPr="00B71374">
        <w:rPr>
          <w:rFonts w:cs="Calibri"/>
          <w:b/>
          <w:sz w:val="24"/>
          <w:szCs w:val="24"/>
          <w:u w:val="single"/>
        </w:rPr>
        <w:t xml:space="preserve">Esta premissa, inclusive, implica na ilegitimidade da </w:t>
      </w:r>
      <w:r w:rsidR="003C3A10">
        <w:rPr>
          <w:rFonts w:cs="Calibri"/>
          <w:b/>
          <w:sz w:val="24"/>
          <w:szCs w:val="24"/>
          <w:u w:val="single"/>
        </w:rPr>
        <w:t>CAIXA</w:t>
      </w:r>
      <w:r w:rsidRPr="00B71374">
        <w:rPr>
          <w:rFonts w:cs="Calibri"/>
          <w:b/>
          <w:sz w:val="24"/>
          <w:szCs w:val="24"/>
          <w:u w:val="single"/>
        </w:rPr>
        <w:t xml:space="preserve"> para responder este ponto da ação</w:t>
      </w:r>
      <w:r w:rsidRPr="00521DDC">
        <w:rPr>
          <w:rFonts w:cs="Calibri"/>
          <w:b/>
          <w:sz w:val="24"/>
          <w:szCs w:val="24"/>
        </w:rPr>
        <w:t>.</w:t>
      </w:r>
    </w:p>
    <w:p w14:paraId="6312278A" w14:textId="77777777" w:rsidR="002246D0" w:rsidRPr="00521DDC" w:rsidRDefault="002246D0" w:rsidP="002246D0">
      <w:pPr>
        <w:spacing w:line="360" w:lineRule="auto"/>
        <w:ind w:firstLine="1701"/>
        <w:jc w:val="both"/>
        <w:rPr>
          <w:rFonts w:cs="Calibri"/>
          <w:b/>
          <w:sz w:val="24"/>
          <w:szCs w:val="24"/>
        </w:rPr>
      </w:pPr>
    </w:p>
    <w:p w14:paraId="4A83C1F5" w14:textId="77777777" w:rsidR="002246D0" w:rsidRDefault="002246D0" w:rsidP="002246D0">
      <w:pPr>
        <w:autoSpaceDE w:val="0"/>
        <w:autoSpaceDN w:val="0"/>
        <w:adjustRightInd w:val="0"/>
        <w:spacing w:line="360" w:lineRule="auto"/>
        <w:ind w:firstLine="1701"/>
        <w:jc w:val="both"/>
        <w:rPr>
          <w:rFonts w:cs="Calibri"/>
          <w:sz w:val="24"/>
          <w:szCs w:val="24"/>
        </w:rPr>
      </w:pPr>
      <w:r>
        <w:rPr>
          <w:rFonts w:cs="Calibri"/>
          <w:sz w:val="24"/>
          <w:szCs w:val="24"/>
        </w:rPr>
        <w:t xml:space="preserve">O PMCMV é disciplinado na Lei 11.977/2009 e prevê condições específicas para o PNHU (Habitação Urbana – que pode ser com recursos FAR ou com recursos FDS) e PNHR (Habitação Rural – recursos do OGU – Orçamento Geral da União). </w:t>
      </w:r>
    </w:p>
    <w:p w14:paraId="3BB4B244" w14:textId="77777777" w:rsidR="002246D0" w:rsidRDefault="002246D0" w:rsidP="002246D0">
      <w:pPr>
        <w:autoSpaceDE w:val="0"/>
        <w:autoSpaceDN w:val="0"/>
        <w:adjustRightInd w:val="0"/>
        <w:spacing w:line="360" w:lineRule="auto"/>
        <w:ind w:firstLine="1701"/>
        <w:jc w:val="both"/>
        <w:rPr>
          <w:rFonts w:cs="Calibri"/>
          <w:sz w:val="24"/>
          <w:szCs w:val="24"/>
        </w:rPr>
      </w:pPr>
    </w:p>
    <w:p w14:paraId="1E27A183" w14:textId="77777777" w:rsidR="002246D0" w:rsidRPr="00521DDC" w:rsidRDefault="002246D0" w:rsidP="002246D0">
      <w:pPr>
        <w:autoSpaceDE w:val="0"/>
        <w:autoSpaceDN w:val="0"/>
        <w:adjustRightInd w:val="0"/>
        <w:spacing w:line="360" w:lineRule="auto"/>
        <w:ind w:firstLine="1701"/>
        <w:jc w:val="both"/>
        <w:rPr>
          <w:rFonts w:cs="Calibri"/>
          <w:sz w:val="24"/>
          <w:szCs w:val="24"/>
        </w:rPr>
      </w:pPr>
      <w:r>
        <w:rPr>
          <w:rFonts w:cs="Calibri"/>
          <w:sz w:val="24"/>
          <w:szCs w:val="24"/>
        </w:rPr>
        <w:t>O</w:t>
      </w:r>
      <w:r w:rsidRPr="00521DDC">
        <w:rPr>
          <w:rFonts w:cs="Calibri"/>
          <w:sz w:val="24"/>
          <w:szCs w:val="24"/>
        </w:rPr>
        <w:t xml:space="preserve"> Programa Minha Casa, Minha Vida – </w:t>
      </w:r>
      <w:r w:rsidRPr="00B71374">
        <w:rPr>
          <w:rFonts w:cs="Calibri"/>
          <w:b/>
          <w:bCs/>
          <w:sz w:val="24"/>
          <w:szCs w:val="24"/>
          <w:u w:val="single"/>
        </w:rPr>
        <w:t>Entidades</w:t>
      </w:r>
      <w:r w:rsidRPr="00521DDC">
        <w:rPr>
          <w:rFonts w:cs="Calibri"/>
          <w:b/>
          <w:bCs/>
          <w:sz w:val="24"/>
          <w:szCs w:val="24"/>
        </w:rPr>
        <w:t xml:space="preserve"> </w:t>
      </w:r>
      <w:r w:rsidRPr="00521DDC">
        <w:rPr>
          <w:rFonts w:cs="Calibri"/>
          <w:sz w:val="24"/>
          <w:szCs w:val="24"/>
        </w:rPr>
        <w:t>(PMCMV-E)</w:t>
      </w:r>
      <w:r>
        <w:rPr>
          <w:rFonts w:cs="Calibri"/>
          <w:sz w:val="24"/>
          <w:szCs w:val="24"/>
        </w:rPr>
        <w:t xml:space="preserve"> se trata de desdobramento do programa habitacional do</w:t>
      </w:r>
      <w:r w:rsidRPr="00521DDC">
        <w:rPr>
          <w:rFonts w:cs="Calibri"/>
          <w:sz w:val="24"/>
          <w:szCs w:val="24"/>
        </w:rPr>
        <w:t xml:space="preserve"> Governo Federal, cujo gestor é o Ministério do </w:t>
      </w:r>
      <w:r w:rsidRPr="00521DDC">
        <w:rPr>
          <w:rFonts w:cs="Calibri"/>
          <w:sz w:val="24"/>
          <w:szCs w:val="24"/>
        </w:rPr>
        <w:lastRenderedPageBreak/>
        <w:t>Desenvolvimento Regional (extinto Ministério das Cidades)</w:t>
      </w:r>
      <w:r>
        <w:rPr>
          <w:rFonts w:cs="Calibri"/>
          <w:sz w:val="24"/>
          <w:szCs w:val="24"/>
        </w:rPr>
        <w:t>, que</w:t>
      </w:r>
      <w:r w:rsidRPr="00521DDC">
        <w:rPr>
          <w:rFonts w:cs="Calibri"/>
          <w:sz w:val="24"/>
          <w:szCs w:val="24"/>
        </w:rPr>
        <w:t xml:space="preserve"> tem a CAIXA como agente</w:t>
      </w:r>
      <w:r>
        <w:rPr>
          <w:rFonts w:cs="Calibri"/>
          <w:sz w:val="24"/>
          <w:szCs w:val="24"/>
        </w:rPr>
        <w:t xml:space="preserve"> operador e</w:t>
      </w:r>
      <w:r w:rsidRPr="00521DDC">
        <w:rPr>
          <w:rFonts w:cs="Calibri"/>
          <w:sz w:val="24"/>
          <w:szCs w:val="24"/>
        </w:rPr>
        <w:t xml:space="preserve"> financeiro de repasse dos recursos do Fundo de Desenvolvimento Social – FDS, conforme </w:t>
      </w:r>
      <w:r w:rsidRPr="00F624BE">
        <w:rPr>
          <w:rFonts w:cs="Calibri"/>
          <w:b/>
          <w:bCs/>
          <w:sz w:val="24"/>
          <w:szCs w:val="24"/>
          <w:u w:val="single"/>
        </w:rPr>
        <w:t>Instrução Normativa nº 12 de 07 de junho de 2018</w:t>
      </w:r>
      <w:r w:rsidRPr="00F624BE">
        <w:rPr>
          <w:rFonts w:cs="Calibri"/>
          <w:sz w:val="24"/>
          <w:szCs w:val="24"/>
        </w:rPr>
        <w:t xml:space="preserve"> do ministério das Cidades</w:t>
      </w:r>
      <w:r>
        <w:rPr>
          <w:rFonts w:cs="Calibri"/>
          <w:sz w:val="24"/>
          <w:szCs w:val="24"/>
        </w:rPr>
        <w:t>, atual MDR</w:t>
      </w:r>
      <w:r w:rsidRPr="00F624BE">
        <w:rPr>
          <w:rFonts w:cs="Calibri"/>
          <w:sz w:val="24"/>
          <w:szCs w:val="24"/>
        </w:rPr>
        <w:t xml:space="preserve">, a qual regulamenta o programa em questão. </w:t>
      </w:r>
    </w:p>
    <w:p w14:paraId="716BEB04" w14:textId="77777777" w:rsidR="002246D0" w:rsidRDefault="002246D0" w:rsidP="002246D0">
      <w:pPr>
        <w:autoSpaceDE w:val="0"/>
        <w:autoSpaceDN w:val="0"/>
        <w:adjustRightInd w:val="0"/>
        <w:spacing w:line="360" w:lineRule="auto"/>
        <w:ind w:firstLine="1701"/>
        <w:jc w:val="both"/>
        <w:rPr>
          <w:rFonts w:cs="Calibri"/>
          <w:sz w:val="24"/>
          <w:szCs w:val="24"/>
        </w:rPr>
      </w:pPr>
    </w:p>
    <w:p w14:paraId="0D869735" w14:textId="00AA4D1E" w:rsidR="003C3A10" w:rsidRDefault="002246D0" w:rsidP="00FC7798">
      <w:pPr>
        <w:autoSpaceDE w:val="0"/>
        <w:autoSpaceDN w:val="0"/>
        <w:adjustRightInd w:val="0"/>
        <w:spacing w:line="360" w:lineRule="auto"/>
        <w:ind w:firstLine="1701"/>
        <w:jc w:val="both"/>
        <w:rPr>
          <w:rStyle w:val="hgkelc"/>
          <w:rFonts w:cs="Calibri"/>
          <w:b/>
          <w:bCs/>
          <w:sz w:val="24"/>
          <w:szCs w:val="24"/>
          <w:lang w:val="pt-PT"/>
        </w:rPr>
      </w:pPr>
      <w:r w:rsidRPr="00AB1B05">
        <w:rPr>
          <w:rFonts w:cs="Calibri"/>
          <w:b/>
          <w:bCs/>
          <w:sz w:val="24"/>
          <w:szCs w:val="24"/>
        </w:rPr>
        <w:t xml:space="preserve">Trata-se de programa de </w:t>
      </w:r>
      <w:r w:rsidRPr="00AB1B05">
        <w:rPr>
          <w:rStyle w:val="hgkelc"/>
          <w:rFonts w:cs="Calibri"/>
          <w:b/>
          <w:bCs/>
          <w:sz w:val="24"/>
          <w:szCs w:val="24"/>
          <w:lang w:val="pt-PT"/>
        </w:rPr>
        <w:t xml:space="preserve">concessão de financiamentos a beneficiários organizados de forma associativa por uma Entidade Organizadora (associações, cooperativas, sindicatos e outros), com recursos provenientes do </w:t>
      </w:r>
      <w:r>
        <w:rPr>
          <w:rStyle w:val="hgkelc"/>
          <w:rFonts w:cs="Calibri"/>
          <w:b/>
          <w:bCs/>
          <w:sz w:val="24"/>
          <w:szCs w:val="24"/>
          <w:lang w:val="pt-PT"/>
        </w:rPr>
        <w:t>FDS</w:t>
      </w:r>
      <w:r w:rsidRPr="00AB1B05">
        <w:rPr>
          <w:rStyle w:val="hgkelc"/>
          <w:rFonts w:cs="Calibri"/>
          <w:b/>
          <w:bCs/>
          <w:sz w:val="24"/>
          <w:szCs w:val="24"/>
          <w:lang w:val="pt-PT"/>
        </w:rPr>
        <w:t>:</w:t>
      </w:r>
    </w:p>
    <w:p w14:paraId="262B05FD" w14:textId="77777777" w:rsidR="003C3A10" w:rsidRPr="00AB1B05" w:rsidRDefault="003C3A10" w:rsidP="002246D0">
      <w:pPr>
        <w:autoSpaceDE w:val="0"/>
        <w:autoSpaceDN w:val="0"/>
        <w:adjustRightInd w:val="0"/>
        <w:spacing w:line="360" w:lineRule="auto"/>
        <w:ind w:firstLine="1701"/>
        <w:jc w:val="both"/>
        <w:rPr>
          <w:rStyle w:val="hgkelc"/>
          <w:rFonts w:cs="Calibri"/>
          <w:b/>
          <w:bCs/>
          <w:sz w:val="24"/>
          <w:szCs w:val="24"/>
          <w:lang w:val="pt-PT"/>
        </w:rPr>
      </w:pPr>
    </w:p>
    <w:p w14:paraId="03AFD154" w14:textId="77777777" w:rsidR="002246D0" w:rsidRPr="00FD4F22" w:rsidRDefault="002246D0" w:rsidP="002246D0">
      <w:pPr>
        <w:pStyle w:val="NormalWeb"/>
        <w:pBdr>
          <w:top w:val="single" w:sz="4" w:space="1" w:color="auto"/>
          <w:left w:val="single" w:sz="4" w:space="4" w:color="auto"/>
          <w:bottom w:val="single" w:sz="4" w:space="1" w:color="auto"/>
          <w:right w:val="single" w:sz="4" w:space="4" w:color="auto"/>
        </w:pBdr>
        <w:spacing w:line="360" w:lineRule="auto"/>
        <w:ind w:left="1701"/>
        <w:jc w:val="both"/>
        <w:rPr>
          <w:rFonts w:ascii="Calibri" w:hAnsi="Calibri" w:cs="Calibri"/>
          <w:b/>
          <w:bCs/>
          <w:sz w:val="22"/>
          <w:szCs w:val="22"/>
        </w:rPr>
      </w:pPr>
      <w:r w:rsidRPr="00FD4F22">
        <w:rPr>
          <w:rFonts w:ascii="Calibri" w:hAnsi="Calibri" w:cs="Calibri"/>
          <w:b/>
          <w:bCs/>
          <w:sz w:val="22"/>
          <w:szCs w:val="22"/>
        </w:rPr>
        <w:t>IN nº 12/2018:</w:t>
      </w:r>
    </w:p>
    <w:p w14:paraId="0AFE357F" w14:textId="77777777" w:rsidR="002246D0" w:rsidRPr="00FD4F22" w:rsidRDefault="002246D0" w:rsidP="002246D0">
      <w:pPr>
        <w:pStyle w:val="NormalWeb"/>
        <w:pBdr>
          <w:top w:val="single" w:sz="4" w:space="1" w:color="auto"/>
          <w:left w:val="single" w:sz="4" w:space="4" w:color="auto"/>
          <w:bottom w:val="single" w:sz="4" w:space="1" w:color="auto"/>
          <w:right w:val="single" w:sz="4" w:space="4" w:color="auto"/>
        </w:pBdr>
        <w:spacing w:line="360" w:lineRule="auto"/>
        <w:ind w:left="1701"/>
        <w:jc w:val="both"/>
        <w:rPr>
          <w:rFonts w:ascii="Calibri" w:hAnsi="Calibri" w:cs="Calibri"/>
          <w:b/>
          <w:bCs/>
          <w:sz w:val="22"/>
          <w:szCs w:val="22"/>
        </w:rPr>
      </w:pPr>
      <w:r w:rsidRPr="00FD4F22">
        <w:rPr>
          <w:rFonts w:ascii="Calibri" w:hAnsi="Calibri" w:cs="Calibri"/>
          <w:b/>
          <w:bCs/>
          <w:sz w:val="22"/>
          <w:szCs w:val="22"/>
        </w:rPr>
        <w:t>6. ORIGEM DOS RECURSOS E COMPOSIÇÃO DO INVESTIMENTO</w:t>
      </w:r>
    </w:p>
    <w:p w14:paraId="55570288" w14:textId="77777777" w:rsidR="002246D0" w:rsidRPr="00FD4F22" w:rsidRDefault="002246D0" w:rsidP="002246D0">
      <w:pPr>
        <w:pStyle w:val="NormalWeb"/>
        <w:pBdr>
          <w:top w:val="single" w:sz="4" w:space="1" w:color="auto"/>
          <w:left w:val="single" w:sz="4" w:space="4" w:color="auto"/>
          <w:bottom w:val="single" w:sz="4" w:space="1" w:color="auto"/>
          <w:right w:val="single" w:sz="4" w:space="4" w:color="auto"/>
        </w:pBdr>
        <w:spacing w:line="360" w:lineRule="auto"/>
        <w:ind w:left="1701"/>
        <w:jc w:val="both"/>
        <w:rPr>
          <w:rFonts w:ascii="Calibri" w:hAnsi="Calibri" w:cs="Calibri"/>
          <w:b/>
          <w:bCs/>
          <w:sz w:val="22"/>
          <w:szCs w:val="22"/>
        </w:rPr>
      </w:pPr>
      <w:r w:rsidRPr="00FD4F22">
        <w:rPr>
          <w:rFonts w:ascii="Calibri" w:hAnsi="Calibri" w:cs="Calibri"/>
          <w:b/>
          <w:bCs/>
          <w:sz w:val="22"/>
          <w:szCs w:val="22"/>
        </w:rPr>
        <w:t>6.1 As operações do PMCMV-E utilizarão recursos provenientes do OGU, transferidos ao FDS, conforme disposto no art. 2º, inciso II, da Lei nº 11.977, de 7 de julho de 2009.</w:t>
      </w:r>
    </w:p>
    <w:p w14:paraId="0608FA7E" w14:textId="77777777" w:rsidR="002246D0" w:rsidRPr="00F624BE" w:rsidRDefault="002246D0" w:rsidP="002246D0">
      <w:pPr>
        <w:autoSpaceDE w:val="0"/>
        <w:autoSpaceDN w:val="0"/>
        <w:adjustRightInd w:val="0"/>
        <w:spacing w:line="360" w:lineRule="auto"/>
        <w:ind w:firstLine="1701"/>
        <w:jc w:val="both"/>
        <w:rPr>
          <w:rFonts w:cs="Calibri"/>
          <w:b/>
          <w:bCs/>
          <w:sz w:val="24"/>
          <w:szCs w:val="24"/>
        </w:rPr>
      </w:pPr>
    </w:p>
    <w:p w14:paraId="217E7A82" w14:textId="77777777" w:rsidR="002246D0" w:rsidRDefault="002246D0" w:rsidP="002246D0">
      <w:pPr>
        <w:autoSpaceDE w:val="0"/>
        <w:autoSpaceDN w:val="0"/>
        <w:adjustRightInd w:val="0"/>
        <w:spacing w:line="360" w:lineRule="auto"/>
        <w:ind w:firstLine="1701"/>
        <w:jc w:val="both"/>
        <w:rPr>
          <w:rFonts w:cs="Calibri"/>
          <w:b/>
          <w:bCs/>
          <w:sz w:val="24"/>
          <w:szCs w:val="24"/>
        </w:rPr>
      </w:pPr>
      <w:r w:rsidRPr="00521DDC">
        <w:rPr>
          <w:rFonts w:cs="Calibri"/>
          <w:sz w:val="24"/>
          <w:szCs w:val="24"/>
        </w:rPr>
        <w:t>A CAIXA</w:t>
      </w:r>
      <w:r>
        <w:rPr>
          <w:rFonts w:cs="Calibri"/>
          <w:sz w:val="24"/>
          <w:szCs w:val="24"/>
        </w:rPr>
        <w:t>,</w:t>
      </w:r>
      <w:r w:rsidRPr="00521DDC">
        <w:rPr>
          <w:rFonts w:cs="Calibri"/>
          <w:sz w:val="24"/>
          <w:szCs w:val="24"/>
        </w:rPr>
        <w:t xml:space="preserve"> </w:t>
      </w:r>
      <w:r>
        <w:rPr>
          <w:rFonts w:cs="Calibri"/>
          <w:sz w:val="24"/>
          <w:szCs w:val="24"/>
        </w:rPr>
        <w:t xml:space="preserve">quando atua </w:t>
      </w:r>
      <w:r w:rsidRPr="00521DDC">
        <w:rPr>
          <w:rFonts w:cs="Calibri"/>
          <w:sz w:val="24"/>
          <w:szCs w:val="24"/>
        </w:rPr>
        <w:t>como agente financeiro</w:t>
      </w:r>
      <w:r>
        <w:rPr>
          <w:rFonts w:cs="Calibri"/>
          <w:sz w:val="24"/>
          <w:szCs w:val="24"/>
        </w:rPr>
        <w:t>,</w:t>
      </w:r>
      <w:r w:rsidRPr="00521DDC">
        <w:rPr>
          <w:rFonts w:cs="Calibri"/>
          <w:sz w:val="24"/>
          <w:szCs w:val="24"/>
        </w:rPr>
        <w:t xml:space="preserve"> apenas recepciona das Entidades Organizadoras interessadas as documentações para enquadramento de propostas de construção das casas e posterior seleção </w:t>
      </w:r>
      <w:r w:rsidRPr="00521DDC">
        <w:rPr>
          <w:rFonts w:cs="Calibri"/>
          <w:b/>
          <w:bCs/>
          <w:sz w:val="24"/>
          <w:szCs w:val="24"/>
        </w:rPr>
        <w:t xml:space="preserve">pelo Ministério do Desenvolvimento Regional. </w:t>
      </w:r>
    </w:p>
    <w:p w14:paraId="0C2E92B0" w14:textId="77777777" w:rsidR="002246D0" w:rsidRDefault="002246D0" w:rsidP="002246D0">
      <w:pPr>
        <w:autoSpaceDE w:val="0"/>
        <w:autoSpaceDN w:val="0"/>
        <w:adjustRightInd w:val="0"/>
        <w:spacing w:line="360" w:lineRule="auto"/>
        <w:ind w:firstLine="1701"/>
        <w:jc w:val="both"/>
        <w:rPr>
          <w:rFonts w:cs="Calibri"/>
          <w:b/>
          <w:bCs/>
          <w:sz w:val="24"/>
          <w:szCs w:val="24"/>
        </w:rPr>
      </w:pPr>
    </w:p>
    <w:p w14:paraId="71BE2C06" w14:textId="77777777" w:rsidR="002246D0" w:rsidRDefault="002246D0" w:rsidP="002246D0">
      <w:pPr>
        <w:autoSpaceDE w:val="0"/>
        <w:autoSpaceDN w:val="0"/>
        <w:adjustRightInd w:val="0"/>
        <w:spacing w:line="360" w:lineRule="auto"/>
        <w:ind w:firstLine="1701"/>
        <w:jc w:val="both"/>
        <w:rPr>
          <w:rFonts w:cs="Calibri"/>
          <w:b/>
          <w:bCs/>
          <w:sz w:val="24"/>
          <w:szCs w:val="24"/>
        </w:rPr>
      </w:pPr>
      <w:r>
        <w:rPr>
          <w:rFonts w:cs="Calibri"/>
          <w:b/>
          <w:bCs/>
          <w:sz w:val="24"/>
          <w:szCs w:val="24"/>
        </w:rPr>
        <w:t xml:space="preserve">Eis aqui o primeiro ponto a se considerar: é a União, através do MDR, que aprova a proposta apresentada </w:t>
      </w:r>
      <w:r w:rsidRPr="00FD4F22">
        <w:rPr>
          <w:rFonts w:cs="Calibri"/>
          <w:b/>
          <w:bCs/>
          <w:sz w:val="24"/>
          <w:szCs w:val="24"/>
          <w:u w:val="single"/>
        </w:rPr>
        <w:t>diretamente pela EO</w:t>
      </w:r>
      <w:r>
        <w:rPr>
          <w:rFonts w:cs="Calibri"/>
          <w:b/>
          <w:bCs/>
          <w:sz w:val="24"/>
          <w:szCs w:val="24"/>
        </w:rPr>
        <w:t xml:space="preserve">. Nesse sentido, vale ressaltar o normativo interno do produto, HH155: </w:t>
      </w:r>
    </w:p>
    <w:p w14:paraId="27ABC3F7" w14:textId="77777777" w:rsidR="002246D0" w:rsidRDefault="002246D0" w:rsidP="002246D0">
      <w:pPr>
        <w:autoSpaceDE w:val="0"/>
        <w:autoSpaceDN w:val="0"/>
        <w:adjustRightInd w:val="0"/>
        <w:spacing w:line="360" w:lineRule="auto"/>
        <w:ind w:firstLine="1701"/>
        <w:jc w:val="both"/>
        <w:rPr>
          <w:rFonts w:cs="Calibri"/>
          <w:b/>
          <w:bCs/>
          <w:sz w:val="24"/>
          <w:szCs w:val="24"/>
        </w:rPr>
      </w:pPr>
    </w:p>
    <w:p w14:paraId="03898FDC" w14:textId="77777777" w:rsidR="002246D0" w:rsidRPr="009B2A7D" w:rsidRDefault="002246D0" w:rsidP="002246D0">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701"/>
        <w:jc w:val="both"/>
        <w:rPr>
          <w:rFonts w:cs="Calibri"/>
        </w:rPr>
      </w:pPr>
      <w:proofErr w:type="gramStart"/>
      <w:r w:rsidRPr="009B2A7D">
        <w:rPr>
          <w:rFonts w:cs="Calibri"/>
        </w:rPr>
        <w:t>3.1.1.2.2 Após</w:t>
      </w:r>
      <w:proofErr w:type="gramEnd"/>
      <w:r w:rsidRPr="009B2A7D">
        <w:rPr>
          <w:rFonts w:cs="Calibri"/>
        </w:rPr>
        <w:t xml:space="preserve"> finalização do processo de enquadramento e análise técnica e de viabilidade da proposta, conforme Apensado B – SELEÇÃO DEPROPOSTAS PMCMV-EFDS, as mesmas são hierarquizadas pelo MDR, com aplicação de critérios previamente definidos na Portaria vigente.</w:t>
      </w:r>
    </w:p>
    <w:p w14:paraId="4F609614" w14:textId="77777777" w:rsidR="002246D0" w:rsidRPr="009B2A7D" w:rsidRDefault="002246D0" w:rsidP="002246D0">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701"/>
        <w:jc w:val="both"/>
        <w:rPr>
          <w:rFonts w:cs="Calibri"/>
        </w:rPr>
      </w:pPr>
    </w:p>
    <w:p w14:paraId="476A6F15" w14:textId="77777777" w:rsidR="002246D0" w:rsidRPr="00E42799" w:rsidRDefault="002246D0" w:rsidP="002246D0">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701"/>
        <w:jc w:val="both"/>
        <w:rPr>
          <w:rFonts w:cs="Calibri"/>
          <w:b/>
          <w:bCs/>
        </w:rPr>
      </w:pPr>
      <w:r w:rsidRPr="009B2A7D">
        <w:rPr>
          <w:rFonts w:cs="Calibri"/>
        </w:rPr>
        <w:lastRenderedPageBreak/>
        <w:t>3.1.1.6 O MDR divulgará as propostas selecionadas, que passam à fase de contratação, no prazo limite disposto na publicação de ato normativo específico, sob pena de cancelamento da seleção da operação.</w:t>
      </w:r>
    </w:p>
    <w:p w14:paraId="59344F18" w14:textId="77777777" w:rsidR="002246D0" w:rsidRPr="00521DDC" w:rsidRDefault="002246D0" w:rsidP="002246D0">
      <w:pPr>
        <w:autoSpaceDE w:val="0"/>
        <w:autoSpaceDN w:val="0"/>
        <w:adjustRightInd w:val="0"/>
        <w:spacing w:line="360" w:lineRule="auto"/>
        <w:ind w:firstLine="1701"/>
        <w:jc w:val="both"/>
        <w:rPr>
          <w:rFonts w:cs="Calibri"/>
          <w:sz w:val="24"/>
          <w:szCs w:val="24"/>
        </w:rPr>
      </w:pPr>
    </w:p>
    <w:p w14:paraId="46CB3D16" w14:textId="77777777" w:rsidR="002246D0" w:rsidRDefault="002246D0" w:rsidP="002246D0">
      <w:pPr>
        <w:autoSpaceDE w:val="0"/>
        <w:autoSpaceDN w:val="0"/>
        <w:adjustRightInd w:val="0"/>
        <w:spacing w:line="360" w:lineRule="auto"/>
        <w:ind w:firstLine="1701"/>
        <w:jc w:val="both"/>
        <w:rPr>
          <w:rFonts w:cs="Calibri"/>
          <w:b/>
          <w:bCs/>
          <w:sz w:val="24"/>
          <w:szCs w:val="24"/>
        </w:rPr>
      </w:pPr>
      <w:r w:rsidRPr="002C2F40">
        <w:rPr>
          <w:rFonts w:cs="Calibri"/>
          <w:b/>
          <w:bCs/>
          <w:sz w:val="24"/>
          <w:szCs w:val="24"/>
        </w:rPr>
        <w:t>Não compete à CAIXA a seleção das propostas ou determinar a construção</w:t>
      </w:r>
      <w:r>
        <w:rPr>
          <w:rFonts w:cs="Calibri"/>
          <w:b/>
          <w:bCs/>
          <w:sz w:val="24"/>
          <w:szCs w:val="24"/>
        </w:rPr>
        <w:t xml:space="preserve"> de empreendimento</w:t>
      </w:r>
      <w:r w:rsidRPr="002C2F40">
        <w:rPr>
          <w:rFonts w:cs="Calibri"/>
          <w:b/>
          <w:bCs/>
          <w:sz w:val="24"/>
          <w:szCs w:val="24"/>
        </w:rPr>
        <w:t xml:space="preserve"> em qualquer Município</w:t>
      </w:r>
      <w:r w:rsidRPr="00521DDC">
        <w:rPr>
          <w:rFonts w:cs="Calibri"/>
          <w:sz w:val="24"/>
          <w:szCs w:val="24"/>
        </w:rPr>
        <w:t xml:space="preserve">. Estas propostas são apresentadas juntamente com o projeto da edificação e infraestrutura, se for o caso, devidamente respaldados e assinados por um responsável técnico (arquiteto ou engenheiro civil) contratado pela Entidade Organizadora e </w:t>
      </w:r>
      <w:r w:rsidRPr="00CF5000">
        <w:rPr>
          <w:rFonts w:cs="Calibri"/>
          <w:b/>
          <w:bCs/>
          <w:sz w:val="24"/>
          <w:szCs w:val="24"/>
        </w:rPr>
        <w:t>são aprovadas</w:t>
      </w:r>
      <w:r w:rsidRPr="00521DDC">
        <w:rPr>
          <w:rFonts w:cs="Calibri"/>
          <w:sz w:val="24"/>
          <w:szCs w:val="24"/>
        </w:rPr>
        <w:t xml:space="preserve"> </w:t>
      </w:r>
      <w:r w:rsidRPr="00521DDC">
        <w:rPr>
          <w:rFonts w:cs="Calibri"/>
          <w:b/>
          <w:bCs/>
          <w:sz w:val="24"/>
          <w:szCs w:val="24"/>
        </w:rPr>
        <w:t>pelo Ministério do Desenvolvimento Regional</w:t>
      </w:r>
      <w:r>
        <w:rPr>
          <w:rFonts w:cs="Calibri"/>
          <w:b/>
          <w:bCs/>
          <w:sz w:val="24"/>
          <w:szCs w:val="24"/>
        </w:rPr>
        <w:t xml:space="preserve"> (antigo Ministério das Cidades)</w:t>
      </w:r>
      <w:r w:rsidRPr="00521DDC">
        <w:rPr>
          <w:rFonts w:cs="Calibri"/>
          <w:b/>
          <w:bCs/>
          <w:sz w:val="24"/>
          <w:szCs w:val="24"/>
        </w:rPr>
        <w:t>.</w:t>
      </w:r>
    </w:p>
    <w:p w14:paraId="7DF34802" w14:textId="77777777" w:rsidR="002246D0" w:rsidRDefault="002246D0" w:rsidP="002246D0">
      <w:pPr>
        <w:autoSpaceDE w:val="0"/>
        <w:autoSpaceDN w:val="0"/>
        <w:adjustRightInd w:val="0"/>
        <w:spacing w:line="360" w:lineRule="auto"/>
        <w:ind w:firstLine="1701"/>
        <w:jc w:val="both"/>
        <w:rPr>
          <w:rFonts w:cs="Calibri"/>
          <w:sz w:val="24"/>
          <w:szCs w:val="24"/>
        </w:rPr>
      </w:pPr>
      <w:r>
        <w:rPr>
          <w:rFonts w:cs="Calibri"/>
          <w:sz w:val="24"/>
          <w:szCs w:val="24"/>
        </w:rPr>
        <w:t>Como visto, no PMCMV – Entidades, a CAIXA atua em duas funções – item 1 da IN nº12: como Agente Operador e Agente Financeiro.</w:t>
      </w:r>
    </w:p>
    <w:p w14:paraId="791E7ED1" w14:textId="77777777" w:rsidR="002246D0" w:rsidRDefault="002246D0" w:rsidP="002246D0">
      <w:pPr>
        <w:pBdr>
          <w:top w:val="single" w:sz="4" w:space="1" w:color="auto"/>
          <w:left w:val="single" w:sz="4" w:space="4" w:color="auto"/>
          <w:bottom w:val="single" w:sz="4" w:space="1" w:color="auto"/>
          <w:right w:val="single" w:sz="4" w:space="4" w:color="auto"/>
        </w:pBdr>
        <w:spacing w:before="100" w:beforeAutospacing="1" w:after="100" w:afterAutospacing="1"/>
        <w:ind w:left="1701"/>
        <w:jc w:val="both"/>
        <w:rPr>
          <w:rFonts w:cs="Calibri"/>
        </w:rPr>
      </w:pPr>
      <w:r>
        <w:rPr>
          <w:rFonts w:cs="Calibri"/>
        </w:rPr>
        <w:t>IN nº 12/2018:</w:t>
      </w:r>
    </w:p>
    <w:p w14:paraId="21F40F24" w14:textId="77777777" w:rsidR="002246D0" w:rsidRPr="00AB1B05" w:rsidRDefault="002246D0" w:rsidP="002246D0">
      <w:pPr>
        <w:pBdr>
          <w:top w:val="single" w:sz="4" w:space="1" w:color="auto"/>
          <w:left w:val="single" w:sz="4" w:space="4" w:color="auto"/>
          <w:bottom w:val="single" w:sz="4" w:space="1" w:color="auto"/>
          <w:right w:val="single" w:sz="4" w:space="4" w:color="auto"/>
        </w:pBdr>
        <w:spacing w:before="100" w:beforeAutospacing="1" w:after="100" w:afterAutospacing="1"/>
        <w:ind w:left="1701"/>
        <w:jc w:val="both"/>
        <w:rPr>
          <w:rFonts w:cs="Calibri"/>
        </w:rPr>
      </w:pPr>
      <w:r w:rsidRPr="00AB1B05">
        <w:rPr>
          <w:rFonts w:cs="Calibri"/>
        </w:rPr>
        <w:t>1. PARTICIPANTES E ATRIBUIÇÕES</w:t>
      </w:r>
    </w:p>
    <w:p w14:paraId="2AF58B41" w14:textId="77777777" w:rsidR="002246D0" w:rsidRPr="00AB1B05" w:rsidRDefault="002246D0" w:rsidP="002246D0">
      <w:pPr>
        <w:pBdr>
          <w:top w:val="single" w:sz="4" w:space="1" w:color="auto"/>
          <w:left w:val="single" w:sz="4" w:space="4" w:color="auto"/>
          <w:bottom w:val="single" w:sz="4" w:space="1" w:color="auto"/>
          <w:right w:val="single" w:sz="4" w:space="4" w:color="auto"/>
        </w:pBdr>
        <w:spacing w:before="100" w:beforeAutospacing="1" w:after="100" w:afterAutospacing="1"/>
        <w:ind w:left="1701"/>
        <w:jc w:val="both"/>
        <w:rPr>
          <w:rFonts w:cs="Calibri"/>
        </w:rPr>
      </w:pPr>
      <w:r w:rsidRPr="00AB1B05">
        <w:rPr>
          <w:rFonts w:cs="Calibri"/>
        </w:rPr>
        <w:t>1.1 Os participantes do Programa Minha Casa, Minha Vida Entidades – PMCMV-E e suas respectivas atribuições encontram-se definidos na forma a seguir especificada:</w:t>
      </w:r>
    </w:p>
    <w:p w14:paraId="28EC18C7" w14:textId="77777777" w:rsidR="002246D0" w:rsidRPr="00AB1B05" w:rsidRDefault="002246D0" w:rsidP="002246D0">
      <w:pPr>
        <w:pBdr>
          <w:top w:val="single" w:sz="4" w:space="1" w:color="auto"/>
          <w:left w:val="single" w:sz="4" w:space="4" w:color="auto"/>
          <w:bottom w:val="single" w:sz="4" w:space="1" w:color="auto"/>
          <w:right w:val="single" w:sz="4" w:space="4" w:color="auto"/>
        </w:pBdr>
        <w:spacing w:before="100" w:beforeAutospacing="1" w:after="100" w:afterAutospacing="1"/>
        <w:ind w:left="1701"/>
        <w:jc w:val="both"/>
        <w:rPr>
          <w:rFonts w:cs="Calibri"/>
        </w:rPr>
      </w:pPr>
      <w:r w:rsidRPr="00AB1B05">
        <w:rPr>
          <w:rFonts w:cs="Calibri"/>
        </w:rPr>
        <w:t xml:space="preserve">1.a) Órgão Gestor – Ministério das Cidades/Secretaria Nacional de Habitação – </w:t>
      </w:r>
      <w:proofErr w:type="spellStart"/>
      <w:r w:rsidRPr="00AB1B05">
        <w:rPr>
          <w:rFonts w:cs="Calibri"/>
        </w:rPr>
        <w:t>MCidades</w:t>
      </w:r>
      <w:proofErr w:type="spellEnd"/>
      <w:r w:rsidRPr="00AB1B05">
        <w:rPr>
          <w:rFonts w:cs="Calibri"/>
        </w:rPr>
        <w:t xml:space="preserve">/SNH: tem a atribuição de definir as diretrizes, prioridades, </w:t>
      </w:r>
      <w:r w:rsidRPr="00AB1B05">
        <w:rPr>
          <w:rFonts w:cs="Calibri"/>
          <w:b/>
          <w:bCs/>
          <w:u w:val="single"/>
        </w:rPr>
        <w:t>sanções</w:t>
      </w:r>
      <w:r w:rsidRPr="00AB1B05">
        <w:rPr>
          <w:rFonts w:cs="Calibri"/>
        </w:rPr>
        <w:t>, estabelecer critérios, procedimentos e parâmetros básicos para análise, hierarquização, seleção e contratação das propostas, bem como acompanhar e avaliar as ações desenvolvidas para implementação do Programa e repasse de recurso do Orçamento Geral da União – OGU ao Fundo de Desenvolvimento Social – FDS.</w:t>
      </w:r>
    </w:p>
    <w:p w14:paraId="047F4DCF" w14:textId="77777777" w:rsidR="002246D0" w:rsidRPr="00AB1B05" w:rsidRDefault="002246D0" w:rsidP="002246D0">
      <w:pPr>
        <w:pBdr>
          <w:top w:val="single" w:sz="4" w:space="1" w:color="auto"/>
          <w:left w:val="single" w:sz="4" w:space="4" w:color="auto"/>
          <w:bottom w:val="single" w:sz="4" w:space="1" w:color="auto"/>
          <w:right w:val="single" w:sz="4" w:space="4" w:color="auto"/>
        </w:pBdr>
        <w:spacing w:before="100" w:beforeAutospacing="1" w:after="100" w:afterAutospacing="1"/>
        <w:ind w:left="1701"/>
        <w:jc w:val="both"/>
        <w:rPr>
          <w:rFonts w:cs="Calibri"/>
          <w:b/>
          <w:bCs/>
          <w:u w:val="single"/>
        </w:rPr>
      </w:pPr>
      <w:r w:rsidRPr="00AB1B05">
        <w:rPr>
          <w:rFonts w:cs="Calibri"/>
        </w:rPr>
        <w:t xml:space="preserve">1.b) Agente Operador – Caixa Econômica Federal – CEF: responsável por alocar o orçamento ao Agente Financeiro de acordo com a distribuição orçamentária por região geográfica, definir e orientar acerca dos procedimentos operacionais a serem observados pelo Agente Financeiro na execução do Programa, enviar propostas de intervenção habitacional, consideradas enquadradas para fins de seleção pelo Órgão Gestor, remunerar o Agente Financeiro pelas atividades exercidas no âmbito das operações, observados os valores fixados em Portaria Interministerial específica, apurar responsabilidade por eventuais falhas na atuação do agente financeiro, </w:t>
      </w:r>
      <w:r w:rsidRPr="00AB1B05">
        <w:rPr>
          <w:rFonts w:cs="Calibri"/>
          <w:b/>
          <w:bCs/>
          <w:u w:val="single"/>
        </w:rPr>
        <w:t xml:space="preserve">disponibilizar mensalmente ao </w:t>
      </w:r>
      <w:proofErr w:type="spellStart"/>
      <w:r w:rsidRPr="00AB1B05">
        <w:rPr>
          <w:rFonts w:cs="Calibri"/>
          <w:b/>
          <w:bCs/>
          <w:u w:val="single"/>
        </w:rPr>
        <w:t>MCidades</w:t>
      </w:r>
      <w:proofErr w:type="spellEnd"/>
      <w:r w:rsidRPr="00AB1B05">
        <w:rPr>
          <w:rFonts w:cs="Calibri"/>
          <w:b/>
          <w:bCs/>
          <w:u w:val="single"/>
        </w:rPr>
        <w:t xml:space="preserve"> as informações dispostas nesta Instrução Normativa necessárias ao monitoramento e avaliação do Programa e por acompanhar e monitorar as operações contratadas pelo Agente Financeiro.</w:t>
      </w:r>
    </w:p>
    <w:p w14:paraId="22D8A491" w14:textId="77777777" w:rsidR="002246D0" w:rsidRPr="00AB1B05" w:rsidRDefault="002246D0" w:rsidP="002246D0">
      <w:pPr>
        <w:pBdr>
          <w:top w:val="single" w:sz="4" w:space="1" w:color="auto"/>
          <w:left w:val="single" w:sz="4" w:space="4" w:color="auto"/>
          <w:bottom w:val="single" w:sz="4" w:space="1" w:color="auto"/>
          <w:right w:val="single" w:sz="4" w:space="4" w:color="auto"/>
        </w:pBdr>
        <w:spacing w:before="100" w:beforeAutospacing="1" w:after="100" w:afterAutospacing="1"/>
        <w:ind w:left="1701"/>
        <w:jc w:val="both"/>
        <w:rPr>
          <w:rFonts w:cs="Calibri"/>
        </w:rPr>
      </w:pPr>
      <w:r w:rsidRPr="00AB1B05">
        <w:rPr>
          <w:rFonts w:cs="Calibri"/>
        </w:rPr>
        <w:t xml:space="preserve">1.c) Agente Financeiro – Caixa Econômica Federal – CEF: Responsável por executar procedimentos de habilitação das EO para atuação no PMCMV-E, recepcionar e analisar documentação para enquadramento de propostas e posterior seleção pelo Órgão Gestor, analisar as propostas de intervenção habitacional selecionadas pelo Órgão Gestor sob os aspectos jurídico, técnico e cadastral e contratar as propostas que demonstrem viabilidade técnico-econômica, receber e verificar Anotação de Responsabilidade Técnica de Obras e Serviços – ART ou Registro de Responsabilidade Técnica – RRT, monitorar a execução dos contratos incluindo as atividades de trabalho social, efetuar a liberação de recursos, acompanhar atividades relativas à entrega dos empreendimentos, </w:t>
      </w:r>
      <w:r w:rsidRPr="00AB1B05">
        <w:rPr>
          <w:rFonts w:cs="Calibri"/>
          <w:b/>
          <w:bCs/>
          <w:u w:val="single"/>
        </w:rPr>
        <w:t xml:space="preserve">encaminhar providências </w:t>
      </w:r>
      <w:r w:rsidRPr="00AB1B05">
        <w:rPr>
          <w:rFonts w:cs="Calibri"/>
          <w:b/>
          <w:bCs/>
          <w:u w:val="single"/>
        </w:rPr>
        <w:lastRenderedPageBreak/>
        <w:t>para tratamento de empreendimentos frustrados,</w:t>
      </w:r>
      <w:r w:rsidRPr="00AB1B05">
        <w:rPr>
          <w:rFonts w:cs="Calibri"/>
        </w:rPr>
        <w:t xml:space="preserve"> executar atividades de manutenção contratual pós-entrega incluindo a cobrança das prestações junto aos beneficiários e repasse das mesmas ao FDS, identificar a ocorrência de desvios de finalidade das unidades habitacionais entregues e adotar providências quando cabível e prestar as informações solicitadas pelo Agente Operador, e efetuar chamamento público como forma de seleção de Entidade Organizadora, quando necessário.</w:t>
      </w:r>
    </w:p>
    <w:p w14:paraId="6C2E0226" w14:textId="77777777" w:rsidR="002246D0" w:rsidRPr="009B2A7D" w:rsidRDefault="002246D0" w:rsidP="002246D0">
      <w:pPr>
        <w:autoSpaceDE w:val="0"/>
        <w:autoSpaceDN w:val="0"/>
        <w:adjustRightInd w:val="0"/>
        <w:spacing w:line="360" w:lineRule="auto"/>
        <w:ind w:firstLine="1701"/>
        <w:jc w:val="both"/>
        <w:rPr>
          <w:rFonts w:cs="Calibri"/>
          <w:b/>
          <w:bCs/>
          <w:sz w:val="24"/>
          <w:szCs w:val="24"/>
          <w:u w:val="single"/>
        </w:rPr>
      </w:pPr>
      <w:r w:rsidRPr="00521DDC">
        <w:rPr>
          <w:rFonts w:cs="Calibri"/>
          <w:sz w:val="24"/>
          <w:szCs w:val="24"/>
        </w:rPr>
        <w:t xml:space="preserve">Uma vez aprovado o projeto pelo MDR, </w:t>
      </w:r>
      <w:r>
        <w:rPr>
          <w:rFonts w:cs="Calibri"/>
          <w:sz w:val="24"/>
          <w:szCs w:val="24"/>
        </w:rPr>
        <w:t>a CAIXA atesta</w:t>
      </w:r>
      <w:r w:rsidRPr="00521DDC">
        <w:rPr>
          <w:rFonts w:cs="Calibri"/>
          <w:sz w:val="24"/>
          <w:szCs w:val="24"/>
        </w:rPr>
        <w:t xml:space="preserve"> </w:t>
      </w:r>
      <w:r>
        <w:rPr>
          <w:rFonts w:cs="Calibri"/>
          <w:sz w:val="24"/>
          <w:szCs w:val="24"/>
        </w:rPr>
        <w:t>a</w:t>
      </w:r>
      <w:r w:rsidRPr="00521DDC">
        <w:rPr>
          <w:rFonts w:cs="Calibri"/>
          <w:sz w:val="24"/>
          <w:szCs w:val="24"/>
        </w:rPr>
        <w:t xml:space="preserve"> evolução destas obras para proceder aos desembolsos dos recursos de forma </w:t>
      </w:r>
      <w:r>
        <w:rPr>
          <w:rFonts w:cs="Calibri"/>
          <w:sz w:val="24"/>
          <w:szCs w:val="24"/>
        </w:rPr>
        <w:t>proporcional e, em caso de empreendimento frustrado, comunica a situação ao órgão gestor</w:t>
      </w:r>
      <w:r w:rsidRPr="00521DDC">
        <w:rPr>
          <w:rFonts w:cs="Calibri"/>
          <w:sz w:val="24"/>
          <w:szCs w:val="24"/>
        </w:rPr>
        <w:t xml:space="preserve">. Ressalte-se que </w:t>
      </w:r>
      <w:r w:rsidRPr="00FD4F22">
        <w:rPr>
          <w:rFonts w:cs="Calibri"/>
          <w:b/>
          <w:bCs/>
          <w:sz w:val="24"/>
          <w:szCs w:val="24"/>
          <w:u w:val="single"/>
        </w:rPr>
        <w:t>não é responsabilidade do agente financeiro a fiscalização da qualidade destas obras</w:t>
      </w:r>
      <w:r>
        <w:rPr>
          <w:rFonts w:cs="Calibri"/>
          <w:b/>
          <w:bCs/>
          <w:sz w:val="24"/>
          <w:szCs w:val="24"/>
          <w:u w:val="single"/>
        </w:rPr>
        <w:t xml:space="preserve"> nem qualquer responsabilidade por </w:t>
      </w:r>
      <w:r w:rsidRPr="009B2A7D">
        <w:rPr>
          <w:rFonts w:cs="Calibri"/>
          <w:b/>
          <w:bCs/>
          <w:sz w:val="24"/>
          <w:szCs w:val="24"/>
          <w:u w:val="single"/>
        </w:rPr>
        <w:t>lucros cessantes por atraso de obra, além de danos material e moral.</w:t>
      </w:r>
    </w:p>
    <w:p w14:paraId="3C1563D7" w14:textId="77777777" w:rsidR="002246D0" w:rsidRPr="00FD4F22" w:rsidRDefault="002246D0" w:rsidP="002246D0">
      <w:pPr>
        <w:autoSpaceDE w:val="0"/>
        <w:autoSpaceDN w:val="0"/>
        <w:adjustRightInd w:val="0"/>
        <w:spacing w:line="360" w:lineRule="auto"/>
        <w:ind w:firstLine="1701"/>
        <w:jc w:val="both"/>
        <w:rPr>
          <w:rFonts w:cs="Calibri"/>
          <w:b/>
          <w:bCs/>
          <w:sz w:val="24"/>
          <w:szCs w:val="24"/>
          <w:u w:val="single"/>
        </w:rPr>
      </w:pPr>
    </w:p>
    <w:p w14:paraId="1BA408A6" w14:textId="77777777" w:rsidR="002246D0" w:rsidRDefault="002246D0" w:rsidP="002246D0">
      <w:pPr>
        <w:autoSpaceDE w:val="0"/>
        <w:autoSpaceDN w:val="0"/>
        <w:adjustRightInd w:val="0"/>
        <w:spacing w:line="360" w:lineRule="auto"/>
        <w:ind w:firstLine="1701"/>
        <w:jc w:val="both"/>
        <w:rPr>
          <w:rFonts w:cs="Calibri"/>
          <w:b/>
          <w:bCs/>
          <w:sz w:val="24"/>
          <w:szCs w:val="24"/>
        </w:rPr>
      </w:pPr>
      <w:r w:rsidRPr="00B73122">
        <w:rPr>
          <w:rFonts w:cs="Calibri"/>
          <w:b/>
          <w:bCs/>
          <w:sz w:val="24"/>
          <w:szCs w:val="24"/>
        </w:rPr>
        <w:t xml:space="preserve">Como visto, a função da CAIXA no PMCMV – Entidades, é disciplinada pela IN 12 de 2018 e não se confunde com o papel desempenhado pela Promovida no PMCMV faixa 1, Lei 11.977/2009, tão ressaltado na petição inicial, especialmente na jurisprudência invocada para justificar a responsabilidade </w:t>
      </w:r>
      <w:r>
        <w:rPr>
          <w:rFonts w:cs="Calibri"/>
          <w:b/>
          <w:bCs/>
          <w:sz w:val="24"/>
          <w:szCs w:val="24"/>
        </w:rPr>
        <w:t>atribuída</w:t>
      </w:r>
      <w:r w:rsidRPr="00B73122">
        <w:rPr>
          <w:rFonts w:cs="Calibri"/>
          <w:b/>
          <w:bCs/>
          <w:sz w:val="24"/>
          <w:szCs w:val="24"/>
        </w:rPr>
        <w:t xml:space="preserve"> à Contestante.</w:t>
      </w:r>
    </w:p>
    <w:p w14:paraId="7EEC7E1A" w14:textId="77777777" w:rsidR="002246D0" w:rsidRPr="00CC67DC" w:rsidRDefault="002246D0" w:rsidP="002246D0">
      <w:pPr>
        <w:spacing w:line="360" w:lineRule="auto"/>
        <w:jc w:val="both"/>
        <w:rPr>
          <w:rFonts w:cs="Calibri"/>
          <w:sz w:val="24"/>
          <w:szCs w:val="24"/>
        </w:rPr>
      </w:pPr>
    </w:p>
    <w:p w14:paraId="51AE9551" w14:textId="64699908" w:rsidR="002246D0" w:rsidRDefault="002246D0" w:rsidP="002246D0">
      <w:pPr>
        <w:spacing w:line="360" w:lineRule="auto"/>
        <w:ind w:firstLine="1701"/>
        <w:jc w:val="both"/>
        <w:rPr>
          <w:rFonts w:cs="Calibri"/>
          <w:sz w:val="24"/>
          <w:szCs w:val="24"/>
        </w:rPr>
      </w:pPr>
      <w:r w:rsidRPr="00CC67DC">
        <w:rPr>
          <w:rFonts w:cs="Calibri"/>
          <w:sz w:val="24"/>
          <w:szCs w:val="24"/>
        </w:rPr>
        <w:t xml:space="preserve">Todavia, </w:t>
      </w:r>
      <w:r>
        <w:rPr>
          <w:rFonts w:cs="Calibri"/>
          <w:sz w:val="24"/>
          <w:szCs w:val="24"/>
        </w:rPr>
        <w:t xml:space="preserve">o pedido do </w:t>
      </w:r>
      <w:r w:rsidR="003C3A10">
        <w:rPr>
          <w:rFonts w:cs="Calibri"/>
          <w:sz w:val="24"/>
          <w:szCs w:val="24"/>
        </w:rPr>
        <w:t>recorrente</w:t>
      </w:r>
      <w:r>
        <w:rPr>
          <w:rFonts w:cs="Calibri"/>
          <w:sz w:val="24"/>
          <w:szCs w:val="24"/>
        </w:rPr>
        <w:t>,</w:t>
      </w:r>
      <w:r w:rsidRPr="00CC67DC">
        <w:rPr>
          <w:rFonts w:cs="Calibri"/>
          <w:sz w:val="24"/>
          <w:szCs w:val="24"/>
        </w:rPr>
        <w:t xml:space="preserve"> diante da frustração do empreendimento contratado, ou seja, </w:t>
      </w:r>
      <w:r>
        <w:rPr>
          <w:rFonts w:cs="Calibri"/>
          <w:sz w:val="24"/>
          <w:szCs w:val="24"/>
        </w:rPr>
        <w:t>a condenação da CAIXA na obrigação</w:t>
      </w:r>
      <w:r w:rsidRPr="00CC67DC">
        <w:rPr>
          <w:rFonts w:cs="Calibri"/>
          <w:sz w:val="24"/>
          <w:szCs w:val="24"/>
        </w:rPr>
        <w:t xml:space="preserve"> de contratar outra </w:t>
      </w:r>
      <w:r>
        <w:rPr>
          <w:rFonts w:cs="Calibri"/>
          <w:sz w:val="24"/>
          <w:szCs w:val="24"/>
        </w:rPr>
        <w:t>c</w:t>
      </w:r>
      <w:r w:rsidRPr="00CC67DC">
        <w:rPr>
          <w:rFonts w:cs="Calibri"/>
          <w:sz w:val="24"/>
          <w:szCs w:val="24"/>
        </w:rPr>
        <w:t>onstrutora para dar continuidade às obras é uma questão de</w:t>
      </w:r>
      <w:r>
        <w:rPr>
          <w:rFonts w:cs="Calibri"/>
          <w:sz w:val="24"/>
          <w:szCs w:val="24"/>
        </w:rPr>
        <w:t xml:space="preserve"> </w:t>
      </w:r>
      <w:r>
        <w:rPr>
          <w:rFonts w:cs="Calibri"/>
          <w:b/>
          <w:bCs/>
          <w:sz w:val="24"/>
          <w:szCs w:val="24"/>
          <w:u w:val="single"/>
        </w:rPr>
        <w:t>definição</w:t>
      </w:r>
      <w:r w:rsidRPr="00D64672">
        <w:rPr>
          <w:rFonts w:cs="Calibri"/>
          <w:sz w:val="24"/>
          <w:szCs w:val="24"/>
        </w:rPr>
        <w:t xml:space="preserve"> de política pública de habitação</w:t>
      </w:r>
      <w:r w:rsidRPr="00CC67DC">
        <w:rPr>
          <w:rFonts w:cs="Calibri"/>
          <w:sz w:val="24"/>
          <w:szCs w:val="24"/>
        </w:rPr>
        <w:t>,</w:t>
      </w:r>
      <w:r>
        <w:rPr>
          <w:rFonts w:cs="Calibri"/>
          <w:sz w:val="24"/>
          <w:szCs w:val="24"/>
        </w:rPr>
        <w:t xml:space="preserve"> e </w:t>
      </w:r>
      <w:r w:rsidRPr="00D64672">
        <w:rPr>
          <w:rFonts w:cs="Calibri"/>
          <w:b/>
          <w:bCs/>
          <w:sz w:val="24"/>
          <w:szCs w:val="24"/>
          <w:u w:val="single"/>
        </w:rPr>
        <w:t>não mera execução</w:t>
      </w:r>
      <w:r>
        <w:rPr>
          <w:rFonts w:cs="Calibri"/>
          <w:sz w:val="24"/>
          <w:szCs w:val="24"/>
        </w:rPr>
        <w:t xml:space="preserve">. </w:t>
      </w:r>
    </w:p>
    <w:p w14:paraId="31A33797" w14:textId="77777777" w:rsidR="002246D0" w:rsidRDefault="002246D0" w:rsidP="002246D0">
      <w:pPr>
        <w:spacing w:line="360" w:lineRule="auto"/>
        <w:ind w:firstLine="1701"/>
        <w:jc w:val="both"/>
        <w:rPr>
          <w:rFonts w:cs="Calibri"/>
          <w:sz w:val="24"/>
          <w:szCs w:val="24"/>
        </w:rPr>
      </w:pPr>
    </w:p>
    <w:p w14:paraId="5D987CA9" w14:textId="77777777" w:rsidR="002246D0" w:rsidRPr="004D73D7" w:rsidRDefault="002246D0" w:rsidP="002246D0">
      <w:pPr>
        <w:spacing w:line="360" w:lineRule="auto"/>
        <w:ind w:firstLine="1701"/>
        <w:jc w:val="both"/>
        <w:rPr>
          <w:rFonts w:cs="Calibri"/>
          <w:b/>
          <w:bCs/>
          <w:sz w:val="24"/>
          <w:szCs w:val="24"/>
        </w:rPr>
      </w:pPr>
      <w:r w:rsidRPr="004D73D7">
        <w:rPr>
          <w:rFonts w:cs="Calibri"/>
          <w:b/>
          <w:bCs/>
          <w:sz w:val="24"/>
          <w:szCs w:val="24"/>
        </w:rPr>
        <w:t>Isso porque a legislação do programa não prevê essa atribuição da CAIXA. Não se trata de dar continuidade a uma proposta selecionada pelo MDR porque o contrato de produção do empreendimento foi rescindido. Trata-se de iniciar nova proposta para um empreendimento frustrado. Portanto, a decisão é do Ministério Gestor do Programa.</w:t>
      </w:r>
    </w:p>
    <w:p w14:paraId="3DF3534F" w14:textId="77777777" w:rsidR="002246D0" w:rsidRDefault="002246D0" w:rsidP="002246D0">
      <w:pPr>
        <w:spacing w:line="360" w:lineRule="auto"/>
        <w:ind w:firstLine="1701"/>
        <w:jc w:val="both"/>
        <w:rPr>
          <w:rFonts w:cs="Calibri"/>
          <w:sz w:val="24"/>
          <w:szCs w:val="24"/>
        </w:rPr>
      </w:pPr>
    </w:p>
    <w:p w14:paraId="3ACFD777" w14:textId="77777777" w:rsidR="002246D0" w:rsidRPr="00CC67DC" w:rsidRDefault="002246D0" w:rsidP="002246D0">
      <w:pPr>
        <w:spacing w:line="360" w:lineRule="auto"/>
        <w:ind w:firstLine="1701"/>
        <w:jc w:val="both"/>
        <w:rPr>
          <w:rFonts w:cs="Calibri"/>
          <w:sz w:val="24"/>
          <w:szCs w:val="24"/>
        </w:rPr>
      </w:pPr>
      <w:r>
        <w:rPr>
          <w:rFonts w:cs="Calibri"/>
          <w:sz w:val="24"/>
          <w:szCs w:val="24"/>
        </w:rPr>
        <w:t>Dessa forma,</w:t>
      </w:r>
      <w:r w:rsidRPr="00CC67DC">
        <w:rPr>
          <w:rFonts w:cs="Calibri"/>
          <w:sz w:val="24"/>
          <w:szCs w:val="24"/>
        </w:rPr>
        <w:t xml:space="preserve"> cabe ao Poder Executivo gestor do programa</w:t>
      </w:r>
      <w:r>
        <w:rPr>
          <w:rFonts w:cs="Calibri"/>
          <w:sz w:val="24"/>
          <w:szCs w:val="24"/>
        </w:rPr>
        <w:t xml:space="preserve"> </w:t>
      </w:r>
      <w:r w:rsidRPr="00D64672">
        <w:rPr>
          <w:rFonts w:cs="Calibri"/>
          <w:b/>
          <w:bCs/>
          <w:sz w:val="24"/>
          <w:szCs w:val="24"/>
        </w:rPr>
        <w:t>decidir o destino do recurso</w:t>
      </w:r>
      <w:r w:rsidRPr="00CC67DC">
        <w:rPr>
          <w:rFonts w:cs="Calibri"/>
          <w:sz w:val="24"/>
          <w:szCs w:val="24"/>
        </w:rPr>
        <w:t xml:space="preserve">, e não à CAIXA, que atua apenas na condição de </w:t>
      </w:r>
      <w:r w:rsidRPr="00E749E4">
        <w:rPr>
          <w:rFonts w:cs="Calibri"/>
          <w:b/>
          <w:bCs/>
          <w:sz w:val="24"/>
          <w:szCs w:val="24"/>
        </w:rPr>
        <w:t>agente operacional dos recursos</w:t>
      </w:r>
      <w:r>
        <w:rPr>
          <w:rFonts w:cs="Calibri"/>
          <w:b/>
          <w:bCs/>
          <w:sz w:val="24"/>
          <w:szCs w:val="24"/>
        </w:rPr>
        <w:t>, com função limitada de “</w:t>
      </w:r>
      <w:r w:rsidRPr="002C2F40">
        <w:rPr>
          <w:rFonts w:cs="Calibri"/>
          <w:b/>
          <w:bCs/>
          <w:sz w:val="24"/>
          <w:szCs w:val="24"/>
        </w:rPr>
        <w:t>encaminhar providências para tratamento de empreendimentos frustrados</w:t>
      </w:r>
      <w:r>
        <w:rPr>
          <w:rFonts w:cs="Calibri"/>
          <w:b/>
          <w:bCs/>
          <w:sz w:val="24"/>
          <w:szCs w:val="24"/>
        </w:rPr>
        <w:t>”, o que a Promovida cumpriu</w:t>
      </w:r>
      <w:r w:rsidRPr="00CC67DC">
        <w:rPr>
          <w:rFonts w:cs="Calibri"/>
          <w:sz w:val="24"/>
          <w:szCs w:val="24"/>
        </w:rPr>
        <w:t>.</w:t>
      </w:r>
    </w:p>
    <w:p w14:paraId="5289BAEF" w14:textId="77777777" w:rsidR="002246D0" w:rsidRPr="00CC67DC" w:rsidRDefault="002246D0" w:rsidP="002246D0">
      <w:pPr>
        <w:spacing w:line="360" w:lineRule="auto"/>
        <w:ind w:firstLine="1701"/>
        <w:jc w:val="both"/>
        <w:rPr>
          <w:rFonts w:cs="Calibri"/>
          <w:sz w:val="24"/>
          <w:szCs w:val="24"/>
        </w:rPr>
      </w:pPr>
    </w:p>
    <w:p w14:paraId="08D54057" w14:textId="77777777" w:rsidR="002246D0" w:rsidRPr="00E749E4" w:rsidRDefault="002246D0" w:rsidP="002246D0">
      <w:pPr>
        <w:spacing w:line="360" w:lineRule="auto"/>
        <w:ind w:firstLine="1701"/>
        <w:jc w:val="both"/>
        <w:rPr>
          <w:rFonts w:cs="Calibri"/>
          <w:b/>
          <w:bCs/>
          <w:sz w:val="24"/>
          <w:szCs w:val="24"/>
        </w:rPr>
      </w:pPr>
      <w:r w:rsidRPr="00E749E4">
        <w:rPr>
          <w:rFonts w:cs="Calibri"/>
          <w:b/>
          <w:bCs/>
          <w:sz w:val="24"/>
          <w:szCs w:val="24"/>
        </w:rPr>
        <w:t xml:space="preserve">Por consequência, é a </w:t>
      </w:r>
      <w:r w:rsidRPr="002C2F40">
        <w:rPr>
          <w:rFonts w:cs="Calibri"/>
          <w:b/>
          <w:bCs/>
          <w:sz w:val="24"/>
          <w:szCs w:val="24"/>
          <w:u w:val="single"/>
        </w:rPr>
        <w:t>União</w:t>
      </w:r>
      <w:r w:rsidRPr="00E749E4">
        <w:rPr>
          <w:rFonts w:cs="Calibri"/>
          <w:b/>
          <w:bCs/>
          <w:sz w:val="24"/>
          <w:szCs w:val="24"/>
        </w:rPr>
        <w:t xml:space="preserve"> (que no caso, atua através do MDR) quem responde pela </w:t>
      </w:r>
      <w:r>
        <w:rPr>
          <w:rFonts w:cs="Calibri"/>
          <w:b/>
          <w:bCs/>
          <w:sz w:val="24"/>
          <w:szCs w:val="24"/>
        </w:rPr>
        <w:t xml:space="preserve">implantação e </w:t>
      </w:r>
      <w:r w:rsidRPr="00E749E4">
        <w:rPr>
          <w:rFonts w:cs="Calibri"/>
          <w:b/>
          <w:bCs/>
          <w:sz w:val="24"/>
          <w:szCs w:val="24"/>
        </w:rPr>
        <w:t>efetivação da política pública</w:t>
      </w:r>
      <w:r>
        <w:rPr>
          <w:rFonts w:cs="Calibri"/>
          <w:b/>
          <w:bCs/>
          <w:sz w:val="24"/>
          <w:szCs w:val="24"/>
        </w:rPr>
        <w:t xml:space="preserve"> em</w:t>
      </w:r>
      <w:r w:rsidRPr="00E749E4">
        <w:rPr>
          <w:rFonts w:cs="Calibri"/>
          <w:b/>
          <w:bCs/>
          <w:sz w:val="24"/>
          <w:szCs w:val="24"/>
        </w:rPr>
        <w:t xml:space="preserve"> que consiste o pedido, </w:t>
      </w:r>
      <w:r>
        <w:rPr>
          <w:rFonts w:cs="Calibri"/>
          <w:b/>
          <w:bCs/>
          <w:sz w:val="24"/>
          <w:szCs w:val="24"/>
        </w:rPr>
        <w:t>inclusive,</w:t>
      </w:r>
      <w:r w:rsidRPr="00E749E4">
        <w:rPr>
          <w:rFonts w:cs="Calibri"/>
          <w:b/>
          <w:bCs/>
          <w:sz w:val="24"/>
          <w:szCs w:val="24"/>
        </w:rPr>
        <w:t xml:space="preserve"> decidir se prosseguirá </w:t>
      </w:r>
      <w:r w:rsidRPr="00E749E4">
        <w:rPr>
          <w:rFonts w:cs="Calibri"/>
          <w:b/>
          <w:bCs/>
          <w:sz w:val="24"/>
          <w:szCs w:val="24"/>
        </w:rPr>
        <w:lastRenderedPageBreak/>
        <w:t>com as obras</w:t>
      </w:r>
      <w:r>
        <w:rPr>
          <w:rFonts w:cs="Calibri"/>
          <w:b/>
          <w:bCs/>
          <w:sz w:val="24"/>
          <w:szCs w:val="24"/>
        </w:rPr>
        <w:t xml:space="preserve"> e, caso positivo, qual é o meio que utilizará para tanto, considerando a regulamentação do Programa.</w:t>
      </w:r>
    </w:p>
    <w:p w14:paraId="7811F117" w14:textId="77777777" w:rsidR="002246D0" w:rsidRDefault="002246D0" w:rsidP="002246D0">
      <w:pPr>
        <w:spacing w:line="360" w:lineRule="auto"/>
        <w:ind w:firstLine="1701"/>
        <w:jc w:val="both"/>
        <w:rPr>
          <w:rFonts w:cs="Calibri"/>
          <w:sz w:val="24"/>
          <w:szCs w:val="24"/>
        </w:rPr>
      </w:pPr>
    </w:p>
    <w:p w14:paraId="635AF4FE" w14:textId="77777777" w:rsidR="002246D0" w:rsidRDefault="002246D0" w:rsidP="002246D0">
      <w:pPr>
        <w:spacing w:line="360" w:lineRule="auto"/>
        <w:ind w:firstLine="1701"/>
        <w:jc w:val="both"/>
        <w:rPr>
          <w:rFonts w:cs="Calibri"/>
          <w:bCs/>
          <w:sz w:val="24"/>
          <w:szCs w:val="24"/>
        </w:rPr>
      </w:pPr>
      <w:r w:rsidRPr="00FD4F22">
        <w:rPr>
          <w:rFonts w:cs="Calibri"/>
          <w:b/>
          <w:sz w:val="24"/>
          <w:szCs w:val="24"/>
        </w:rPr>
        <w:t>Repita-se, o PMCMV-Entidades é disciplinado em legislação específica, que definiu os limites das competências de cada ente. Da mesma forma que não cabe à CAIXA “decidir” pela seleção inicial, não cabe à Caixa decidir que, diante dos inadimplementos contratuais graves ou frustração do empreendimento, haja substituição da proposta contratada, porque ela não tem atribuição legal para isso</w:t>
      </w:r>
      <w:r>
        <w:rPr>
          <w:rFonts w:cs="Calibri"/>
          <w:bCs/>
          <w:sz w:val="24"/>
          <w:szCs w:val="24"/>
        </w:rPr>
        <w:t xml:space="preserve">. </w:t>
      </w:r>
    </w:p>
    <w:p w14:paraId="33759502" w14:textId="77777777" w:rsidR="002246D0" w:rsidRPr="00CC67DC" w:rsidRDefault="002246D0" w:rsidP="002246D0">
      <w:pPr>
        <w:spacing w:line="360" w:lineRule="auto"/>
        <w:jc w:val="both"/>
        <w:rPr>
          <w:rFonts w:cs="Calibri"/>
          <w:bCs/>
          <w:sz w:val="24"/>
          <w:szCs w:val="24"/>
        </w:rPr>
      </w:pPr>
    </w:p>
    <w:p w14:paraId="40E2344F" w14:textId="77777777" w:rsidR="002246D0" w:rsidRPr="00FD4F22" w:rsidRDefault="002246D0" w:rsidP="002246D0">
      <w:pPr>
        <w:spacing w:line="360" w:lineRule="auto"/>
        <w:ind w:firstLine="1701"/>
        <w:jc w:val="both"/>
        <w:rPr>
          <w:rFonts w:cs="Calibri"/>
          <w:b/>
          <w:sz w:val="24"/>
          <w:szCs w:val="24"/>
        </w:rPr>
      </w:pPr>
      <w:r w:rsidRPr="00FD4F22">
        <w:rPr>
          <w:rFonts w:cs="Calibri"/>
          <w:b/>
          <w:sz w:val="24"/>
          <w:szCs w:val="24"/>
        </w:rPr>
        <w:t xml:space="preserve">Ademais, na situação de inadimplemento contratual, a solução prevista é a rescisão do contrato e a comunicação da frustração do empreendimento. Todavia, mesmo rescindido o contrato, a Lei não confere liberalidade à instituição financeira para ir além e contratar outra construtora para finalizar obra inacabada. </w:t>
      </w:r>
    </w:p>
    <w:p w14:paraId="40FD9896" w14:textId="77777777" w:rsidR="002246D0" w:rsidRDefault="002246D0" w:rsidP="002246D0">
      <w:pPr>
        <w:spacing w:line="360" w:lineRule="auto"/>
        <w:ind w:firstLine="1701"/>
        <w:jc w:val="both"/>
        <w:rPr>
          <w:rFonts w:cs="Calibri"/>
          <w:bCs/>
          <w:sz w:val="24"/>
          <w:szCs w:val="24"/>
        </w:rPr>
      </w:pPr>
    </w:p>
    <w:p w14:paraId="5BD37CD2" w14:textId="77777777" w:rsidR="002246D0" w:rsidRPr="00560814" w:rsidRDefault="002246D0" w:rsidP="002246D0">
      <w:pPr>
        <w:spacing w:line="360" w:lineRule="auto"/>
        <w:ind w:firstLine="1701"/>
        <w:jc w:val="both"/>
        <w:rPr>
          <w:rFonts w:cs="Calibri"/>
          <w:b/>
          <w:sz w:val="24"/>
          <w:szCs w:val="24"/>
        </w:rPr>
      </w:pPr>
      <w:r w:rsidRPr="00560814">
        <w:rPr>
          <w:rFonts w:cs="Calibri"/>
          <w:b/>
          <w:sz w:val="24"/>
          <w:szCs w:val="24"/>
        </w:rPr>
        <w:t xml:space="preserve">Logo, mesmo considerando a nobreza do objetivo, garantia do direito de habitação </w:t>
      </w:r>
      <w:r>
        <w:rPr>
          <w:rFonts w:cs="Calibri"/>
          <w:b/>
          <w:sz w:val="24"/>
          <w:szCs w:val="24"/>
        </w:rPr>
        <w:t>previsto no art. 6º da CF</w:t>
      </w:r>
      <w:r w:rsidRPr="00560814">
        <w:rPr>
          <w:rFonts w:cs="Calibri"/>
          <w:b/>
          <w:sz w:val="24"/>
          <w:szCs w:val="24"/>
        </w:rPr>
        <w:t xml:space="preserve">, o pedido deduzido contra a CAIXA é ilegal. Deve ser destacado que o “mandato” recebido da União é limitado às atribuições de gestão do recurso e canal de envio dos documentos e propostas ao MDR. </w:t>
      </w:r>
    </w:p>
    <w:p w14:paraId="5B686552" w14:textId="77777777" w:rsidR="002246D0" w:rsidRDefault="002246D0" w:rsidP="002246D0">
      <w:pPr>
        <w:spacing w:line="360" w:lineRule="auto"/>
        <w:ind w:firstLine="1701"/>
        <w:jc w:val="both"/>
        <w:rPr>
          <w:rFonts w:cs="Calibri"/>
          <w:bCs/>
          <w:sz w:val="24"/>
          <w:szCs w:val="24"/>
        </w:rPr>
      </w:pPr>
    </w:p>
    <w:p w14:paraId="4F03DD3F" w14:textId="77777777" w:rsidR="002246D0" w:rsidRDefault="002246D0" w:rsidP="002246D0">
      <w:pPr>
        <w:spacing w:line="360" w:lineRule="auto"/>
        <w:ind w:firstLine="1701"/>
        <w:jc w:val="both"/>
        <w:rPr>
          <w:rFonts w:cs="Calibri"/>
          <w:bCs/>
          <w:sz w:val="24"/>
          <w:szCs w:val="24"/>
        </w:rPr>
      </w:pPr>
      <w:r>
        <w:rPr>
          <w:rFonts w:cs="Calibri"/>
          <w:bCs/>
          <w:sz w:val="24"/>
          <w:szCs w:val="24"/>
        </w:rPr>
        <w:t>Além disso</w:t>
      </w:r>
      <w:r w:rsidRPr="00CC67DC">
        <w:rPr>
          <w:rFonts w:cs="Calibri"/>
          <w:bCs/>
          <w:sz w:val="24"/>
          <w:szCs w:val="24"/>
        </w:rPr>
        <w:t xml:space="preserve">, não obstante seja inegável que as famílias selecionadas </w:t>
      </w:r>
      <w:r>
        <w:rPr>
          <w:rFonts w:cs="Calibri"/>
          <w:bCs/>
          <w:sz w:val="24"/>
          <w:szCs w:val="24"/>
        </w:rPr>
        <w:t xml:space="preserve">sofreram </w:t>
      </w:r>
      <w:r w:rsidRPr="00CC67DC">
        <w:rPr>
          <w:rFonts w:cs="Calibri"/>
          <w:bCs/>
          <w:sz w:val="24"/>
          <w:szCs w:val="24"/>
        </w:rPr>
        <w:t>frustração da expectativa de um direito, não cabe a imputação desse dano à CAIXA, que age apenas nos limites de suas atribuições, dentro do programa.</w:t>
      </w:r>
    </w:p>
    <w:p w14:paraId="624B8749" w14:textId="77777777" w:rsidR="002246D0" w:rsidRDefault="002246D0" w:rsidP="002246D0">
      <w:pPr>
        <w:spacing w:line="360" w:lineRule="auto"/>
        <w:ind w:firstLine="1701"/>
        <w:jc w:val="both"/>
        <w:rPr>
          <w:rFonts w:cs="Calibri"/>
          <w:bCs/>
          <w:sz w:val="24"/>
          <w:szCs w:val="24"/>
        </w:rPr>
      </w:pPr>
    </w:p>
    <w:p w14:paraId="299A1D7D" w14:textId="44E6241C" w:rsidR="003C3A10" w:rsidRDefault="002246D0" w:rsidP="00FC7798">
      <w:pPr>
        <w:spacing w:line="360" w:lineRule="auto"/>
        <w:ind w:firstLine="1701"/>
        <w:jc w:val="both"/>
        <w:rPr>
          <w:rFonts w:eastAsia="Times New Roman" w:cs="Calibri"/>
          <w:b/>
          <w:sz w:val="24"/>
          <w:szCs w:val="24"/>
          <w:lang w:eastAsia="pt-BR"/>
        </w:rPr>
      </w:pPr>
      <w:r w:rsidRPr="00032CB2">
        <w:rPr>
          <w:rFonts w:cs="Calibri"/>
          <w:b/>
          <w:sz w:val="24"/>
          <w:szCs w:val="24"/>
        </w:rPr>
        <w:t>Consequentemente, a CAIXA é parte ilegítima para responder pelo pedido d</w:t>
      </w:r>
      <w:r>
        <w:rPr>
          <w:rFonts w:cs="Calibri"/>
          <w:b/>
          <w:sz w:val="24"/>
          <w:szCs w:val="24"/>
        </w:rPr>
        <w:t xml:space="preserve">e suposto dano material/moral, </w:t>
      </w:r>
      <w:r w:rsidRPr="00032CB2">
        <w:rPr>
          <w:rFonts w:cs="Calibri"/>
          <w:b/>
          <w:sz w:val="24"/>
          <w:szCs w:val="24"/>
        </w:rPr>
        <w:t>motivo por que requer a extinção do processo sem resolução de mérito em relação à Promovida e indica desde já a União como parte legítima para responder o pleito</w:t>
      </w:r>
      <w:r w:rsidR="00FC7798">
        <w:rPr>
          <w:rFonts w:cs="Calibri"/>
          <w:b/>
          <w:sz w:val="24"/>
          <w:szCs w:val="24"/>
        </w:rPr>
        <w:t>, nos termos do art. 339 do CPC</w:t>
      </w:r>
    </w:p>
    <w:p w14:paraId="3A25AE47" w14:textId="77777777" w:rsidR="003C3A10" w:rsidRDefault="003C3A10" w:rsidP="003C3A10">
      <w:pPr>
        <w:spacing w:line="360" w:lineRule="auto"/>
        <w:jc w:val="center"/>
        <w:rPr>
          <w:rFonts w:eastAsia="Times New Roman" w:cs="Calibri"/>
          <w:b/>
          <w:sz w:val="24"/>
          <w:szCs w:val="24"/>
          <w:lang w:eastAsia="pt-BR"/>
        </w:rPr>
      </w:pPr>
    </w:p>
    <w:p w14:paraId="406C184C" w14:textId="186A1EA0" w:rsidR="002246D0" w:rsidRDefault="002246D0" w:rsidP="003C3A10">
      <w:pPr>
        <w:spacing w:line="360" w:lineRule="auto"/>
        <w:jc w:val="center"/>
        <w:rPr>
          <w:rFonts w:eastAsia="Times New Roman" w:cs="Calibri"/>
          <w:b/>
          <w:sz w:val="24"/>
          <w:szCs w:val="24"/>
          <w:lang w:eastAsia="pt-BR"/>
        </w:rPr>
      </w:pPr>
      <w:r>
        <w:rPr>
          <w:rFonts w:eastAsia="Times New Roman" w:cs="Calibri"/>
          <w:b/>
          <w:sz w:val="24"/>
          <w:szCs w:val="24"/>
          <w:lang w:eastAsia="pt-BR"/>
        </w:rPr>
        <w:t>DO MÉRITO</w:t>
      </w:r>
    </w:p>
    <w:p w14:paraId="1F2232E5" w14:textId="77777777" w:rsidR="00334A67" w:rsidRDefault="00FC7798" w:rsidP="00FC7798">
      <w:pPr>
        <w:pStyle w:val="NormalWeb"/>
        <w:spacing w:line="360" w:lineRule="auto"/>
        <w:ind w:firstLine="1985"/>
        <w:jc w:val="both"/>
        <w:rPr>
          <w:rFonts w:ascii="Calibri" w:hAnsi="Calibri" w:cs="Calibri"/>
        </w:rPr>
      </w:pPr>
      <w:r w:rsidRPr="00FC7798">
        <w:rPr>
          <w:rFonts w:ascii="Calibri" w:hAnsi="Calibri" w:cs="Calibri"/>
        </w:rPr>
        <w:lastRenderedPageBreak/>
        <w:t>A autora procurou a Caixa para q</w:t>
      </w:r>
      <w:r>
        <w:rPr>
          <w:rFonts w:ascii="Calibri" w:hAnsi="Calibri" w:cs="Calibri"/>
        </w:rPr>
        <w:t xml:space="preserve">ue esta financiasse a compra de </w:t>
      </w:r>
      <w:r w:rsidRPr="00FC7798">
        <w:rPr>
          <w:rFonts w:ascii="Calibri" w:hAnsi="Calibri" w:cs="Calibri"/>
        </w:rPr>
        <w:t>um imóvel, objeto de financiamento concedido pela Caixa, a</w:t>
      </w:r>
      <w:r>
        <w:rPr>
          <w:rFonts w:ascii="Calibri" w:hAnsi="Calibri" w:cs="Calibri"/>
        </w:rPr>
        <w:t>presentando toda a documentação pertinente.</w:t>
      </w:r>
    </w:p>
    <w:p w14:paraId="2590B83D" w14:textId="77777777" w:rsidR="00334A67" w:rsidRDefault="00FC7798" w:rsidP="00FC7798">
      <w:pPr>
        <w:pStyle w:val="NormalWeb"/>
        <w:spacing w:line="360" w:lineRule="auto"/>
        <w:ind w:firstLine="1985"/>
        <w:jc w:val="both"/>
        <w:rPr>
          <w:rFonts w:ascii="Calibri" w:hAnsi="Calibri" w:cs="Calibri"/>
        </w:rPr>
      </w:pPr>
      <w:r w:rsidRPr="00FC7798">
        <w:rPr>
          <w:rFonts w:ascii="Calibri" w:hAnsi="Calibri" w:cs="Calibri"/>
        </w:rPr>
        <w:t>Com essa documentação, a Caixa promoveu atos para a concessão</w:t>
      </w:r>
      <w:r>
        <w:rPr>
          <w:rFonts w:ascii="Calibri" w:hAnsi="Calibri" w:cs="Calibri"/>
        </w:rPr>
        <w:t xml:space="preserve"> </w:t>
      </w:r>
      <w:r w:rsidRPr="00FC7798">
        <w:rPr>
          <w:rFonts w:ascii="Calibri" w:hAnsi="Calibri" w:cs="Calibri"/>
        </w:rPr>
        <w:t xml:space="preserve">do financiamento, </w:t>
      </w:r>
      <w:r>
        <w:rPr>
          <w:rFonts w:ascii="Calibri" w:hAnsi="Calibri" w:cs="Calibri"/>
        </w:rPr>
        <w:t>conforme requerido pela autora.</w:t>
      </w:r>
    </w:p>
    <w:p w14:paraId="51343255" w14:textId="77777777" w:rsidR="00334A67" w:rsidRDefault="00FC7798" w:rsidP="00FC7798">
      <w:pPr>
        <w:pStyle w:val="NormalWeb"/>
        <w:spacing w:line="360" w:lineRule="auto"/>
        <w:ind w:firstLine="1985"/>
        <w:jc w:val="both"/>
        <w:rPr>
          <w:rFonts w:ascii="Calibri" w:hAnsi="Calibri" w:cs="Calibri"/>
        </w:rPr>
      </w:pPr>
      <w:r>
        <w:rPr>
          <w:rFonts w:ascii="Calibri" w:hAnsi="Calibri" w:cs="Calibri"/>
        </w:rPr>
        <w:t xml:space="preserve"> </w:t>
      </w:r>
      <w:r w:rsidRPr="00FC7798">
        <w:rPr>
          <w:rFonts w:ascii="Calibri" w:hAnsi="Calibri" w:cs="Calibri"/>
        </w:rPr>
        <w:t>No entanto, esta procura atribuir u</w:t>
      </w:r>
      <w:r>
        <w:rPr>
          <w:rFonts w:ascii="Calibri" w:hAnsi="Calibri" w:cs="Calibri"/>
        </w:rPr>
        <w:t xml:space="preserve">ma responsabilidade à Ré-Caixa, </w:t>
      </w:r>
      <w:r w:rsidRPr="00FC7798">
        <w:rPr>
          <w:rFonts w:ascii="Calibri" w:hAnsi="Calibri" w:cs="Calibri"/>
        </w:rPr>
        <w:t>esquecendo-se que os fatos só ocorreram por culpa do ve</w:t>
      </w:r>
      <w:r>
        <w:rPr>
          <w:rFonts w:ascii="Calibri" w:hAnsi="Calibri" w:cs="Calibri"/>
        </w:rPr>
        <w:t xml:space="preserve">ndedor, que deixou de cumprir a </w:t>
      </w:r>
      <w:r w:rsidRPr="00FC7798">
        <w:rPr>
          <w:rFonts w:ascii="Calibri" w:hAnsi="Calibri" w:cs="Calibri"/>
        </w:rPr>
        <w:t>obrigação de entregar o imóvel na data prevista.</w:t>
      </w:r>
      <w:r>
        <w:rPr>
          <w:rFonts w:ascii="Calibri" w:hAnsi="Calibri" w:cs="Calibri"/>
        </w:rPr>
        <w:t xml:space="preserve"> </w:t>
      </w:r>
    </w:p>
    <w:p w14:paraId="4C040FDD" w14:textId="5A7BB82D" w:rsidR="00FC7798" w:rsidRDefault="00FC7798" w:rsidP="00FC7798">
      <w:pPr>
        <w:pStyle w:val="NormalWeb"/>
        <w:spacing w:line="360" w:lineRule="auto"/>
        <w:ind w:firstLine="1985"/>
        <w:jc w:val="both"/>
        <w:rPr>
          <w:rFonts w:ascii="Calibri" w:hAnsi="Calibri" w:cs="Calibri"/>
        </w:rPr>
      </w:pPr>
      <w:r w:rsidRPr="00FC7798">
        <w:rPr>
          <w:rFonts w:ascii="Calibri" w:hAnsi="Calibri" w:cs="Calibri"/>
        </w:rPr>
        <w:t>A relação, portanto, estabelece-se en</w:t>
      </w:r>
      <w:r>
        <w:rPr>
          <w:rFonts w:ascii="Calibri" w:hAnsi="Calibri" w:cs="Calibri"/>
        </w:rPr>
        <w:t xml:space="preserve">tre alienante e alienatário e a </w:t>
      </w:r>
      <w:r w:rsidRPr="00FC7798">
        <w:rPr>
          <w:rFonts w:ascii="Calibri" w:hAnsi="Calibri" w:cs="Calibri"/>
        </w:rPr>
        <w:t>Caixa não é a alienante.</w:t>
      </w:r>
    </w:p>
    <w:p w14:paraId="024247EC" w14:textId="45A61016" w:rsidR="002246D0" w:rsidRDefault="00334A67" w:rsidP="00334A67">
      <w:pPr>
        <w:pStyle w:val="NormalWeb"/>
        <w:spacing w:line="360" w:lineRule="auto"/>
        <w:ind w:firstLine="1985"/>
        <w:jc w:val="both"/>
        <w:rPr>
          <w:rFonts w:cs="Calibri"/>
        </w:rPr>
      </w:pPr>
      <w:r w:rsidRPr="00334A67">
        <w:rPr>
          <w:rFonts w:ascii="Calibri" w:hAnsi="Calibri" w:cs="Calibri"/>
        </w:rPr>
        <w:t>Efetivamente, com relação ao pactuado junto à CAIXA, tem-se que o contrato tem como fundamento ético a vontade dos contratantes, que em conformidade com uma ordem legal, procuram atingir um objetivo específico, produzindo efeitos jurídicos.</w:t>
      </w:r>
      <w:r>
        <w:rPr>
          <w:rFonts w:cs="Calibri"/>
        </w:rPr>
        <w:t xml:space="preserve"> </w:t>
      </w:r>
    </w:p>
    <w:p w14:paraId="43CDE3DA" w14:textId="565FC035" w:rsidR="002246D0" w:rsidRPr="008A4B70" w:rsidRDefault="00334A67" w:rsidP="002246D0">
      <w:pPr>
        <w:autoSpaceDE w:val="0"/>
        <w:autoSpaceDN w:val="0"/>
        <w:adjustRightInd w:val="0"/>
        <w:spacing w:line="360" w:lineRule="auto"/>
        <w:ind w:firstLine="1985"/>
        <w:jc w:val="both"/>
        <w:rPr>
          <w:rFonts w:cs="Calibri"/>
          <w:sz w:val="24"/>
          <w:szCs w:val="24"/>
        </w:rPr>
      </w:pPr>
      <w:r>
        <w:rPr>
          <w:rFonts w:cs="Calibri"/>
          <w:sz w:val="24"/>
          <w:szCs w:val="24"/>
        </w:rPr>
        <w:t>Ainda que, c</w:t>
      </w:r>
      <w:r w:rsidR="002246D0" w:rsidRPr="008A4B70">
        <w:rPr>
          <w:rFonts w:cs="Calibri"/>
          <w:sz w:val="24"/>
          <w:szCs w:val="24"/>
        </w:rPr>
        <w:t>ada proposta do PMCMV-E possui um responsável técnico pelos projetos e pela execução das obras, devendo este profissional observar a legislação, os procedimentos ideais de construção das casas, as metodologias e materiais de construção empregados, bem como devem prestar a devida assistência técnica à Entidade Organizadora e aos promitentes beneficiários das unidades habitacionais.</w:t>
      </w:r>
    </w:p>
    <w:p w14:paraId="4CAB081A" w14:textId="77777777" w:rsidR="002246D0" w:rsidRPr="008A4B70" w:rsidRDefault="002246D0" w:rsidP="002246D0">
      <w:pPr>
        <w:autoSpaceDE w:val="0"/>
        <w:autoSpaceDN w:val="0"/>
        <w:adjustRightInd w:val="0"/>
        <w:spacing w:line="360" w:lineRule="auto"/>
        <w:ind w:firstLine="1985"/>
        <w:jc w:val="both"/>
        <w:rPr>
          <w:rFonts w:cs="Calibri"/>
          <w:sz w:val="24"/>
          <w:szCs w:val="24"/>
        </w:rPr>
      </w:pPr>
    </w:p>
    <w:p w14:paraId="5862991F" w14:textId="77777777" w:rsidR="002246D0" w:rsidRDefault="002246D0" w:rsidP="002246D0">
      <w:pPr>
        <w:autoSpaceDE w:val="0"/>
        <w:autoSpaceDN w:val="0"/>
        <w:adjustRightInd w:val="0"/>
        <w:spacing w:line="360" w:lineRule="auto"/>
        <w:ind w:firstLine="1985"/>
        <w:jc w:val="both"/>
        <w:rPr>
          <w:rFonts w:cs="Calibri"/>
          <w:sz w:val="24"/>
          <w:szCs w:val="24"/>
        </w:rPr>
      </w:pPr>
      <w:r w:rsidRPr="008A4B70">
        <w:rPr>
          <w:rFonts w:cs="Calibri"/>
          <w:sz w:val="24"/>
          <w:szCs w:val="24"/>
        </w:rPr>
        <w:t>A Entidade Organizadora é “</w:t>
      </w:r>
      <w:r w:rsidRPr="008A4B70">
        <w:rPr>
          <w:rFonts w:cs="Calibri"/>
          <w:b/>
          <w:bCs/>
          <w:i/>
          <w:iCs/>
          <w:sz w:val="24"/>
          <w:szCs w:val="24"/>
        </w:rPr>
        <w:t>responsável pela proposta de intervenção habitacional junto ao Agente Financeiro e desenvolvimento de cada uma das etapas dos projetos de arquitetura, engenharia, de trabalho social; seleção, mobilização, organização e orientação às famílias tomadoras dos financiamentos, inclusive em relação à documentação necessária, e gestão dos recursos financeiros, obras e serviços do empreendimento, por meio de participação na CRE e CAO</w:t>
      </w:r>
      <w:r w:rsidRPr="008A4B70">
        <w:rPr>
          <w:rFonts w:cs="Calibri"/>
          <w:sz w:val="24"/>
          <w:szCs w:val="24"/>
        </w:rPr>
        <w:t>”, conforme estabelecido na IN 12/2018 do Ministério das Cidades</w:t>
      </w:r>
      <w:r>
        <w:rPr>
          <w:rFonts w:cs="Calibri"/>
          <w:sz w:val="24"/>
          <w:szCs w:val="24"/>
        </w:rPr>
        <w:t>/MDR</w:t>
      </w:r>
      <w:r w:rsidRPr="008A4B70">
        <w:rPr>
          <w:rFonts w:cs="Calibri"/>
          <w:sz w:val="24"/>
          <w:szCs w:val="24"/>
        </w:rPr>
        <w:t>.</w:t>
      </w:r>
    </w:p>
    <w:p w14:paraId="599925A2" w14:textId="77777777" w:rsidR="002246D0" w:rsidRDefault="002246D0" w:rsidP="002246D0">
      <w:pPr>
        <w:autoSpaceDE w:val="0"/>
        <w:autoSpaceDN w:val="0"/>
        <w:adjustRightInd w:val="0"/>
        <w:spacing w:line="360" w:lineRule="auto"/>
        <w:ind w:firstLine="1985"/>
        <w:jc w:val="both"/>
        <w:rPr>
          <w:rFonts w:cs="Calibri"/>
          <w:sz w:val="24"/>
          <w:szCs w:val="24"/>
        </w:rPr>
      </w:pPr>
    </w:p>
    <w:p w14:paraId="63459CDA" w14:textId="77777777" w:rsidR="002246D0"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 xml:space="preserve">É de se ressaltar que a CAIXA não faz fiscalização, que é </w:t>
      </w:r>
      <w:r>
        <w:rPr>
          <w:rFonts w:cs="Calibri"/>
          <w:sz w:val="24"/>
          <w:szCs w:val="24"/>
        </w:rPr>
        <w:t>a</w:t>
      </w:r>
      <w:r w:rsidRPr="00070269">
        <w:rPr>
          <w:rFonts w:cs="Calibri"/>
          <w:sz w:val="24"/>
          <w:szCs w:val="24"/>
        </w:rPr>
        <w:t xml:space="preserve">tividade técnica com </w:t>
      </w:r>
      <w:r>
        <w:rPr>
          <w:rFonts w:cs="Calibri"/>
          <w:sz w:val="24"/>
          <w:szCs w:val="24"/>
        </w:rPr>
        <w:t>norma/</w:t>
      </w:r>
      <w:r w:rsidRPr="00070269">
        <w:rPr>
          <w:rFonts w:cs="Calibri"/>
          <w:sz w:val="24"/>
          <w:szCs w:val="24"/>
        </w:rPr>
        <w:t>ART específica para essa atividade</w:t>
      </w:r>
      <w:r>
        <w:rPr>
          <w:rFonts w:cs="Calibri"/>
          <w:sz w:val="24"/>
          <w:szCs w:val="24"/>
        </w:rPr>
        <w:t>.</w:t>
      </w:r>
    </w:p>
    <w:p w14:paraId="009F51B5" w14:textId="77777777" w:rsidR="002246D0" w:rsidRPr="00070269" w:rsidRDefault="002246D0" w:rsidP="002246D0">
      <w:pPr>
        <w:autoSpaceDE w:val="0"/>
        <w:autoSpaceDN w:val="0"/>
        <w:adjustRightInd w:val="0"/>
        <w:spacing w:line="360" w:lineRule="auto"/>
        <w:ind w:firstLine="1985"/>
        <w:jc w:val="both"/>
        <w:rPr>
          <w:rFonts w:cs="Calibri"/>
          <w:sz w:val="24"/>
          <w:szCs w:val="24"/>
        </w:rPr>
      </w:pPr>
    </w:p>
    <w:p w14:paraId="7B0E3F8D" w14:textId="77777777" w:rsidR="002246D0"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 xml:space="preserve"> As </w:t>
      </w:r>
      <w:r>
        <w:rPr>
          <w:rFonts w:cs="Calibri"/>
          <w:sz w:val="24"/>
          <w:szCs w:val="24"/>
        </w:rPr>
        <w:t xml:space="preserve">análises visuais </w:t>
      </w:r>
      <w:r w:rsidRPr="00070269">
        <w:rPr>
          <w:rFonts w:cs="Calibri"/>
          <w:sz w:val="24"/>
          <w:szCs w:val="24"/>
        </w:rPr>
        <w:t>são</w:t>
      </w:r>
      <w:r>
        <w:rPr>
          <w:rFonts w:cs="Calibri"/>
          <w:sz w:val="24"/>
          <w:szCs w:val="24"/>
        </w:rPr>
        <w:t xml:space="preserve"> pontuais, simples e meramente</w:t>
      </w:r>
      <w:r w:rsidRPr="00070269">
        <w:rPr>
          <w:rFonts w:cs="Calibri"/>
          <w:sz w:val="24"/>
          <w:szCs w:val="24"/>
        </w:rPr>
        <w:t xml:space="preserve"> amostrais, sem auxílio de instrumentos de precisão, </w:t>
      </w:r>
      <w:r>
        <w:rPr>
          <w:rFonts w:cs="Calibri"/>
          <w:sz w:val="24"/>
          <w:szCs w:val="24"/>
        </w:rPr>
        <w:t>com</w:t>
      </w:r>
      <w:r w:rsidRPr="00070269">
        <w:rPr>
          <w:rFonts w:cs="Calibri"/>
          <w:sz w:val="24"/>
          <w:szCs w:val="24"/>
        </w:rPr>
        <w:t xml:space="preserve"> o intuito de aferir as medições apresentadas pelo proponente e de </w:t>
      </w:r>
      <w:r w:rsidRPr="00070269">
        <w:rPr>
          <w:rFonts w:cs="Calibri"/>
          <w:sz w:val="24"/>
          <w:szCs w:val="24"/>
        </w:rPr>
        <w:lastRenderedPageBreak/>
        <w:t xml:space="preserve">verificar a qualidade aparente da obra, atividade que não se caracteriza como </w:t>
      </w:r>
      <w:r>
        <w:rPr>
          <w:rFonts w:cs="Calibri"/>
          <w:sz w:val="24"/>
          <w:szCs w:val="24"/>
        </w:rPr>
        <w:t xml:space="preserve">atividade de </w:t>
      </w:r>
      <w:r w:rsidRPr="00070269">
        <w:rPr>
          <w:rFonts w:cs="Calibri"/>
          <w:sz w:val="24"/>
          <w:szCs w:val="24"/>
        </w:rPr>
        <w:t>fiscalização de obras</w:t>
      </w:r>
      <w:r>
        <w:rPr>
          <w:rFonts w:cs="Calibri"/>
          <w:sz w:val="24"/>
          <w:szCs w:val="24"/>
        </w:rPr>
        <w:t>.</w:t>
      </w:r>
      <w:r w:rsidRPr="00070269">
        <w:rPr>
          <w:rFonts w:cs="Calibri"/>
          <w:sz w:val="24"/>
          <w:szCs w:val="24"/>
        </w:rPr>
        <w:t xml:space="preserve"> </w:t>
      </w:r>
    </w:p>
    <w:p w14:paraId="6CA90A45" w14:textId="77777777" w:rsidR="002246D0" w:rsidRPr="00070269" w:rsidRDefault="002246D0" w:rsidP="002246D0">
      <w:pPr>
        <w:autoSpaceDE w:val="0"/>
        <w:autoSpaceDN w:val="0"/>
        <w:adjustRightInd w:val="0"/>
        <w:spacing w:line="360" w:lineRule="auto"/>
        <w:ind w:firstLine="1985"/>
        <w:jc w:val="both"/>
        <w:rPr>
          <w:rFonts w:cs="Calibri"/>
          <w:sz w:val="24"/>
          <w:szCs w:val="24"/>
        </w:rPr>
      </w:pPr>
    </w:p>
    <w:p w14:paraId="2BFBDCCC" w14:textId="77777777" w:rsidR="002246D0" w:rsidRPr="00070269" w:rsidRDefault="002246D0" w:rsidP="002246D0">
      <w:pPr>
        <w:autoSpaceDE w:val="0"/>
        <w:autoSpaceDN w:val="0"/>
        <w:adjustRightInd w:val="0"/>
        <w:spacing w:line="360" w:lineRule="auto"/>
        <w:ind w:firstLine="1985"/>
        <w:jc w:val="both"/>
        <w:rPr>
          <w:rFonts w:cs="Calibri"/>
          <w:b/>
          <w:bCs/>
          <w:sz w:val="24"/>
          <w:szCs w:val="24"/>
          <w:u w:val="single"/>
        </w:rPr>
      </w:pPr>
      <w:r w:rsidRPr="00070269">
        <w:rPr>
          <w:rFonts w:cs="Calibri"/>
          <w:b/>
          <w:bCs/>
          <w:sz w:val="24"/>
          <w:szCs w:val="24"/>
          <w:u w:val="single"/>
        </w:rPr>
        <w:t xml:space="preserve">No caso dos autos, do PMCMV FAIXA I – PNHU -  FDS, há a participação direta dos beneficiários na construção e na administração da obra através da CRE (comissão dos representantes do empreendimento) e CAO (comissão de acompanhamento de obras). Ambas as comissões são formadas pelos beneficiários.   </w:t>
      </w:r>
    </w:p>
    <w:p w14:paraId="78524EF4" w14:textId="77777777" w:rsidR="002246D0" w:rsidRDefault="002246D0" w:rsidP="002246D0">
      <w:pPr>
        <w:rPr>
          <w:rFonts w:cs="Calibri"/>
        </w:rPr>
      </w:pPr>
      <w:r>
        <w:rPr>
          <w:rFonts w:cs="Calibri"/>
        </w:rPr>
        <w:t> </w:t>
      </w:r>
    </w:p>
    <w:p w14:paraId="08ABE679" w14:textId="77777777" w:rsidR="002246D0" w:rsidRPr="00070269" w:rsidRDefault="002246D0" w:rsidP="002246D0">
      <w:pPr>
        <w:autoSpaceDE w:val="0"/>
        <w:autoSpaceDN w:val="0"/>
        <w:adjustRightInd w:val="0"/>
        <w:spacing w:line="360" w:lineRule="auto"/>
        <w:ind w:firstLine="1985"/>
        <w:jc w:val="both"/>
        <w:rPr>
          <w:rFonts w:cs="Calibri"/>
          <w:b/>
          <w:bCs/>
          <w:sz w:val="24"/>
          <w:szCs w:val="24"/>
        </w:rPr>
      </w:pPr>
      <w:r w:rsidRPr="00070269">
        <w:rPr>
          <w:rFonts w:cs="Calibri"/>
          <w:b/>
          <w:bCs/>
          <w:sz w:val="24"/>
          <w:szCs w:val="24"/>
        </w:rPr>
        <w:t>Na ata da eleição da CRE - comissão dos representantes do empreendimento - está descrito suas atribuições: </w:t>
      </w:r>
    </w:p>
    <w:p w14:paraId="45B55EF0" w14:textId="77777777" w:rsidR="002246D0" w:rsidRDefault="002246D0" w:rsidP="002246D0">
      <w:pPr>
        <w:rPr>
          <w:rFonts w:cs="Calibri"/>
        </w:rPr>
      </w:pPr>
      <w:r>
        <w:rPr>
          <w:rFonts w:cs="Calibri"/>
        </w:rPr>
        <w:t> </w:t>
      </w:r>
    </w:p>
    <w:p w14:paraId="5A07F2C1"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-Firmar abertura de conta poupança, não solidária, na agência concessora.  </w:t>
      </w:r>
    </w:p>
    <w:p w14:paraId="7DF8C095"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-Gerir e movimentar os recursos financeiros liberados pela CAIXA para a produção das UH e/ou para pagamento da assistência técnica para elaboração dos projetos.  </w:t>
      </w:r>
    </w:p>
    <w:p w14:paraId="4B01189A"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-Prestar constas aos demais futuros beneficiários participantes do empreendimento sobre a aplicação dos recursos liberados pela CAIXA.  </w:t>
      </w:r>
    </w:p>
    <w:p w14:paraId="0419AB2F"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-Acompanhar financeiramente o contrato.  </w:t>
      </w:r>
    </w:p>
    <w:p w14:paraId="67C8D861"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-Autorizar em conjunto com a EO, a transferência de parcelas relativas as obras e serviços executados, diretamente pela empresa construtora, nas contratações com regime de cogestão, desde que acordado formalmente entre as partes.  </w:t>
      </w:r>
    </w:p>
    <w:p w14:paraId="1F21E4D2"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 </w:t>
      </w:r>
    </w:p>
    <w:p w14:paraId="72540F1F"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b/>
          <w:bCs/>
          <w:sz w:val="24"/>
          <w:szCs w:val="24"/>
        </w:rPr>
        <w:t>Na ata da eleição da CAO -  comissão de acompanhamento de obras) -  está descrito suas atribuições</w:t>
      </w:r>
      <w:r w:rsidRPr="00070269">
        <w:rPr>
          <w:rFonts w:cs="Calibri"/>
          <w:sz w:val="24"/>
          <w:szCs w:val="24"/>
        </w:rPr>
        <w:t>: </w:t>
      </w:r>
    </w:p>
    <w:p w14:paraId="1DD5195E"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 </w:t>
      </w:r>
    </w:p>
    <w:p w14:paraId="133ADD6E"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-Responsabilizar-se conjuntamente com a EO, pela execução do empreendimento e/ou acompanhamento da elaboração, apresentação e aprovação dos projetos, junto aos órgãos competentes.  </w:t>
      </w:r>
    </w:p>
    <w:p w14:paraId="544D73DD"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-Acompanhar as obras e aplicação dos recursos geridos pela CRE </w:t>
      </w:r>
    </w:p>
    <w:p w14:paraId="3A62DA40"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Dialogar com a empresa construtora, no caso de fase II, e/ou com empresas fornecedoras do material de construção.  </w:t>
      </w:r>
    </w:p>
    <w:p w14:paraId="7D5B917A"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lastRenderedPageBreak/>
        <w:t>-Dialogar com o engenheiro responsável pelas obras, ou no caso de aquisição de terreno, com a assessoria técnica responsável pela elaboração dos projetos.  </w:t>
      </w:r>
    </w:p>
    <w:p w14:paraId="3CE8F96B" w14:textId="77777777" w:rsidR="002246D0" w:rsidRPr="00070269" w:rsidRDefault="002246D0" w:rsidP="002246D0">
      <w:pPr>
        <w:autoSpaceDE w:val="0"/>
        <w:autoSpaceDN w:val="0"/>
        <w:adjustRightInd w:val="0"/>
        <w:spacing w:line="360" w:lineRule="auto"/>
        <w:ind w:firstLine="1985"/>
        <w:jc w:val="both"/>
        <w:rPr>
          <w:rFonts w:cs="Calibri"/>
          <w:i/>
          <w:iCs/>
          <w:sz w:val="24"/>
          <w:szCs w:val="24"/>
          <w:u w:val="single"/>
        </w:rPr>
      </w:pPr>
      <w:r w:rsidRPr="00070269">
        <w:rPr>
          <w:rFonts w:cs="Calibri"/>
          <w:i/>
          <w:iCs/>
          <w:sz w:val="24"/>
          <w:szCs w:val="24"/>
          <w:u w:val="single"/>
        </w:rPr>
        <w:t>Justificar em conjunto com a EO, o pleito de prorrogação de prazo de carência. </w:t>
      </w:r>
    </w:p>
    <w:p w14:paraId="50B560B3" w14:textId="77777777" w:rsidR="002246D0" w:rsidRPr="00070269" w:rsidRDefault="002246D0" w:rsidP="002246D0">
      <w:pPr>
        <w:autoSpaceDE w:val="0"/>
        <w:autoSpaceDN w:val="0"/>
        <w:adjustRightInd w:val="0"/>
        <w:spacing w:line="360" w:lineRule="auto"/>
        <w:ind w:firstLine="1985"/>
        <w:jc w:val="both"/>
        <w:rPr>
          <w:rFonts w:cs="Calibri"/>
          <w:sz w:val="24"/>
          <w:szCs w:val="24"/>
        </w:rPr>
      </w:pPr>
      <w:r w:rsidRPr="00070269">
        <w:rPr>
          <w:rFonts w:cs="Calibri"/>
          <w:sz w:val="24"/>
          <w:szCs w:val="24"/>
        </w:rPr>
        <w:t>-Prestar contas aos demais futuros beneficiários participantes do empreendimento sobre o desenvolvimento dos projetos, ou no caso de construção, sobre o andamento das obras, segurança e guarda das obras e material adquirido. </w:t>
      </w:r>
    </w:p>
    <w:p w14:paraId="594BA345" w14:textId="77777777" w:rsidR="002246D0" w:rsidRPr="008A4B70" w:rsidRDefault="002246D0" w:rsidP="002246D0">
      <w:pPr>
        <w:autoSpaceDE w:val="0"/>
        <w:autoSpaceDN w:val="0"/>
        <w:adjustRightInd w:val="0"/>
        <w:spacing w:line="360" w:lineRule="auto"/>
        <w:jc w:val="both"/>
        <w:rPr>
          <w:rFonts w:cs="Calibri"/>
          <w:sz w:val="24"/>
          <w:szCs w:val="24"/>
        </w:rPr>
      </w:pPr>
    </w:p>
    <w:p w14:paraId="45C36BA7" w14:textId="77777777" w:rsidR="002246D0" w:rsidRPr="008A4B70" w:rsidRDefault="002246D0" w:rsidP="002246D0">
      <w:pPr>
        <w:autoSpaceDE w:val="0"/>
        <w:autoSpaceDN w:val="0"/>
        <w:adjustRightInd w:val="0"/>
        <w:spacing w:line="360" w:lineRule="auto"/>
        <w:ind w:firstLine="1985"/>
        <w:jc w:val="both"/>
        <w:rPr>
          <w:rFonts w:cs="Calibri"/>
          <w:sz w:val="24"/>
          <w:szCs w:val="24"/>
        </w:rPr>
      </w:pPr>
      <w:r w:rsidRPr="008A4B70">
        <w:rPr>
          <w:rFonts w:cs="Calibri"/>
          <w:sz w:val="24"/>
          <w:szCs w:val="24"/>
        </w:rPr>
        <w:t xml:space="preserve">Essas atribuições são ratificadas no </w:t>
      </w:r>
      <w:r w:rsidRPr="008A4B70">
        <w:rPr>
          <w:rFonts w:cs="Calibri"/>
          <w:b/>
          <w:bCs/>
          <w:sz w:val="24"/>
          <w:szCs w:val="24"/>
        </w:rPr>
        <w:t xml:space="preserve">Contrato de Compra e Venda Terreno, Pagamento de Despesas de Legalização e Assistência Técnica para Projetos – Programa Minha Casa Vida – Entidades – Pessoa Jurídica, no Termo de Cooperação e Parceria e Contrato de Novação de Dívida, Mútuo para Construção de Empreendimento Imobiliário e Alienação Fiduciária em Garantia PMCMV – Entidades – FDS – PJ </w:t>
      </w:r>
      <w:r w:rsidRPr="008A4B70">
        <w:rPr>
          <w:rFonts w:cs="Calibri"/>
          <w:sz w:val="24"/>
          <w:szCs w:val="24"/>
        </w:rPr>
        <w:t>Entidade Organizadora deve eleger uma Comissão de Representantes da Entidade – CRE, que é responsável por “</w:t>
      </w:r>
      <w:r w:rsidRPr="008A4B70">
        <w:rPr>
          <w:rFonts w:cs="Calibri"/>
          <w:b/>
          <w:bCs/>
          <w:i/>
          <w:iCs/>
          <w:sz w:val="24"/>
          <w:szCs w:val="24"/>
        </w:rPr>
        <w:t>gerir e movimentar os recursos financeiros destinados à produção e legalização do empreendimento, de executar cotação de preços, de realizar pagamentos, após consulta à CAO sobre a qualidade de serviços executados e materiais adquiridos ou utilizados, e de efetuar prestação de contas, à qual será dada publicidade aos beneficiários</w:t>
      </w:r>
      <w:r w:rsidRPr="008A4B70">
        <w:rPr>
          <w:rFonts w:cs="Calibri"/>
          <w:sz w:val="24"/>
          <w:szCs w:val="24"/>
        </w:rPr>
        <w:t>”.</w:t>
      </w:r>
    </w:p>
    <w:p w14:paraId="7505BA7C" w14:textId="77777777" w:rsidR="002246D0" w:rsidRPr="008A4B70" w:rsidRDefault="002246D0" w:rsidP="002246D0">
      <w:pPr>
        <w:autoSpaceDE w:val="0"/>
        <w:autoSpaceDN w:val="0"/>
        <w:adjustRightInd w:val="0"/>
        <w:spacing w:line="360" w:lineRule="auto"/>
        <w:ind w:firstLine="1985"/>
        <w:jc w:val="both"/>
        <w:rPr>
          <w:rFonts w:cs="Calibri"/>
          <w:sz w:val="24"/>
          <w:szCs w:val="24"/>
        </w:rPr>
      </w:pPr>
    </w:p>
    <w:p w14:paraId="77D0188F" w14:textId="77777777" w:rsidR="002246D0" w:rsidRPr="008A4B70" w:rsidRDefault="002246D0" w:rsidP="002246D0">
      <w:pPr>
        <w:autoSpaceDE w:val="0"/>
        <w:autoSpaceDN w:val="0"/>
        <w:adjustRightInd w:val="0"/>
        <w:spacing w:line="360" w:lineRule="auto"/>
        <w:ind w:firstLine="1985"/>
        <w:jc w:val="both"/>
        <w:rPr>
          <w:rFonts w:cs="Calibri"/>
          <w:sz w:val="24"/>
          <w:szCs w:val="24"/>
        </w:rPr>
      </w:pPr>
      <w:r w:rsidRPr="008A4B70">
        <w:rPr>
          <w:rFonts w:cs="Calibri"/>
          <w:sz w:val="24"/>
          <w:szCs w:val="24"/>
        </w:rPr>
        <w:t>A Entidade Organizadora também deve eleger uma Comissão de Acompanhamento de Obra – CAO, que é responsável pelo “</w:t>
      </w:r>
      <w:r w:rsidRPr="008A4B70">
        <w:rPr>
          <w:rFonts w:cs="Calibri"/>
          <w:b/>
          <w:bCs/>
          <w:i/>
          <w:iCs/>
          <w:sz w:val="24"/>
          <w:szCs w:val="24"/>
        </w:rPr>
        <w:t>acompanhamento e fiscalização da execução do empreendimento mediante interlocução e apoio da assessoria técnica e, quando em regime de cogestão, com construtora e, quando em regime de autogestão, com prestadores de serviços</w:t>
      </w:r>
      <w:r w:rsidRPr="008A4B70">
        <w:rPr>
          <w:rFonts w:cs="Calibri"/>
          <w:sz w:val="24"/>
          <w:szCs w:val="24"/>
        </w:rPr>
        <w:t>”.</w:t>
      </w:r>
    </w:p>
    <w:p w14:paraId="054B2D59" w14:textId="77777777" w:rsidR="002246D0" w:rsidRPr="00E42799" w:rsidRDefault="002246D0" w:rsidP="002246D0">
      <w:pPr>
        <w:tabs>
          <w:tab w:val="left" w:pos="708"/>
        </w:tabs>
        <w:suppressAutoHyphens/>
        <w:spacing w:line="360" w:lineRule="auto"/>
        <w:jc w:val="both"/>
        <w:rPr>
          <w:rFonts w:cs="Calibri"/>
          <w:sz w:val="24"/>
          <w:szCs w:val="24"/>
        </w:rPr>
      </w:pPr>
    </w:p>
    <w:p w14:paraId="30176B80" w14:textId="77777777" w:rsidR="002246D0" w:rsidRPr="00E42799" w:rsidRDefault="002246D0" w:rsidP="002246D0">
      <w:pPr>
        <w:suppressAutoHyphens/>
        <w:spacing w:line="360" w:lineRule="atLeast"/>
        <w:ind w:firstLine="1985"/>
        <w:jc w:val="both"/>
        <w:rPr>
          <w:rFonts w:cs="Calibri"/>
          <w:b/>
          <w:bCs/>
          <w:sz w:val="24"/>
          <w:szCs w:val="24"/>
        </w:rPr>
      </w:pPr>
      <w:r w:rsidRPr="00E42799">
        <w:rPr>
          <w:rFonts w:cs="Calibri"/>
          <w:b/>
          <w:bCs/>
          <w:sz w:val="24"/>
          <w:szCs w:val="24"/>
        </w:rPr>
        <w:t>Neste ponto, cumpre destacar que os desembolsos para evolução das obras são realizados de forma antecipada. A primeira parcela é liberada no valor de 4%.</w:t>
      </w:r>
    </w:p>
    <w:p w14:paraId="0D83E1DF" w14:textId="77777777" w:rsidR="002246D0" w:rsidRPr="00E42799" w:rsidRDefault="002246D0" w:rsidP="002246D0">
      <w:pPr>
        <w:suppressAutoHyphens/>
        <w:spacing w:line="360" w:lineRule="atLeast"/>
        <w:ind w:firstLine="1985"/>
        <w:jc w:val="both"/>
        <w:rPr>
          <w:rFonts w:cs="Calibri"/>
          <w:b/>
          <w:bCs/>
          <w:sz w:val="24"/>
          <w:szCs w:val="24"/>
        </w:rPr>
      </w:pPr>
    </w:p>
    <w:p w14:paraId="177CEFB9" w14:textId="77777777" w:rsidR="002246D0" w:rsidRPr="00E42799" w:rsidRDefault="002246D0" w:rsidP="002246D0">
      <w:pPr>
        <w:suppressAutoHyphens/>
        <w:spacing w:line="360" w:lineRule="atLeast"/>
        <w:ind w:firstLine="1985"/>
        <w:jc w:val="both"/>
        <w:rPr>
          <w:rFonts w:cs="Calibri"/>
          <w:b/>
          <w:bCs/>
          <w:sz w:val="24"/>
          <w:szCs w:val="24"/>
        </w:rPr>
      </w:pPr>
      <w:r w:rsidRPr="00E42799">
        <w:rPr>
          <w:rFonts w:cs="Calibri"/>
          <w:b/>
          <w:bCs/>
          <w:sz w:val="24"/>
          <w:szCs w:val="24"/>
        </w:rPr>
        <w:t>As demais parcelas, excetuando-se a última, poderão ser liberadas antecipadamente até o valor acumulado de 95%, condicionado a que a diferença entre o percentual acumulado das liberações, acrescido do percentual a ser liberado, e o percentual acumulado de execução da obra atestada seja de, no máximo, 4%. A última parcela não é antecipada, e corresponde a 5%, liberada somente quando da conclusão das obras.</w:t>
      </w:r>
    </w:p>
    <w:p w14:paraId="2F05392A" w14:textId="77777777" w:rsidR="002246D0" w:rsidRDefault="002246D0" w:rsidP="002246D0">
      <w:pPr>
        <w:suppressAutoHyphens/>
        <w:spacing w:line="360" w:lineRule="atLeast"/>
        <w:ind w:firstLine="1985"/>
        <w:jc w:val="both"/>
        <w:rPr>
          <w:rFonts w:cs="Calibri"/>
          <w:b/>
          <w:bCs/>
          <w:sz w:val="24"/>
          <w:szCs w:val="24"/>
          <w:u w:val="single"/>
        </w:rPr>
      </w:pPr>
    </w:p>
    <w:p w14:paraId="766ED97F" w14:textId="77777777" w:rsidR="002246D0" w:rsidRPr="00E42799" w:rsidRDefault="002246D0" w:rsidP="002246D0">
      <w:pPr>
        <w:suppressAutoHyphens/>
        <w:spacing w:line="360" w:lineRule="atLeast"/>
        <w:ind w:firstLine="1985"/>
        <w:jc w:val="both"/>
        <w:rPr>
          <w:rFonts w:cs="Calibri"/>
          <w:b/>
          <w:bCs/>
          <w:sz w:val="24"/>
          <w:szCs w:val="24"/>
          <w:u w:val="single"/>
        </w:rPr>
      </w:pPr>
      <w:r w:rsidRPr="00E42799">
        <w:rPr>
          <w:rFonts w:cs="Calibri"/>
          <w:b/>
          <w:bCs/>
          <w:sz w:val="24"/>
          <w:szCs w:val="24"/>
          <w:u w:val="single"/>
        </w:rPr>
        <w:t xml:space="preserve">Essa é a regulamentação do fluxo de pagamentos no PMCMV – Entidades. </w:t>
      </w:r>
    </w:p>
    <w:p w14:paraId="159AC3CB" w14:textId="77777777" w:rsidR="002246D0" w:rsidRDefault="002246D0" w:rsidP="002246D0">
      <w:pPr>
        <w:autoSpaceDE w:val="0"/>
        <w:autoSpaceDN w:val="0"/>
        <w:adjustRightInd w:val="0"/>
        <w:spacing w:line="360" w:lineRule="auto"/>
        <w:ind w:firstLine="2127"/>
        <w:jc w:val="both"/>
        <w:rPr>
          <w:rFonts w:cs="Calibri"/>
          <w:sz w:val="24"/>
          <w:szCs w:val="24"/>
        </w:rPr>
      </w:pPr>
    </w:p>
    <w:p w14:paraId="6D55F086" w14:textId="1EC88EC9" w:rsidR="002246D0" w:rsidRDefault="002246D0" w:rsidP="002246D0">
      <w:pPr>
        <w:autoSpaceDE w:val="0"/>
        <w:autoSpaceDN w:val="0"/>
        <w:adjustRightInd w:val="0"/>
        <w:spacing w:line="360" w:lineRule="auto"/>
        <w:ind w:firstLine="2127"/>
        <w:jc w:val="both"/>
        <w:rPr>
          <w:rFonts w:cs="Calibri"/>
          <w:sz w:val="24"/>
          <w:szCs w:val="24"/>
        </w:rPr>
      </w:pPr>
      <w:r>
        <w:rPr>
          <w:rFonts w:cs="Calibri"/>
          <w:sz w:val="24"/>
          <w:szCs w:val="24"/>
        </w:rPr>
        <w:t xml:space="preserve">Diante do exposto, no que se refere ao mérito das pretensões apresentadas pelo </w:t>
      </w:r>
      <w:r w:rsidR="003C3A10">
        <w:rPr>
          <w:rFonts w:cs="Calibri"/>
          <w:sz w:val="24"/>
          <w:szCs w:val="24"/>
        </w:rPr>
        <w:t>recorrente</w:t>
      </w:r>
      <w:r>
        <w:rPr>
          <w:rFonts w:cs="Calibri"/>
          <w:sz w:val="24"/>
          <w:szCs w:val="24"/>
        </w:rPr>
        <w:t>, os fatos e fundamentos jurídicos postos evidenciam que a CAIXA não concorreu atraso de obra, tampouco foi omissa na fiscalização da obra ou procedeu com liberação de recursos de forma incompatível com as regras do programa.</w:t>
      </w:r>
    </w:p>
    <w:p w14:paraId="14F94436" w14:textId="77777777" w:rsidR="002246D0" w:rsidRDefault="002246D0" w:rsidP="002246D0">
      <w:pPr>
        <w:autoSpaceDE w:val="0"/>
        <w:autoSpaceDN w:val="0"/>
        <w:adjustRightInd w:val="0"/>
        <w:spacing w:line="360" w:lineRule="auto"/>
        <w:ind w:firstLine="2127"/>
        <w:jc w:val="both"/>
        <w:rPr>
          <w:rFonts w:cs="Calibri"/>
          <w:sz w:val="24"/>
          <w:szCs w:val="24"/>
        </w:rPr>
      </w:pPr>
    </w:p>
    <w:p w14:paraId="39BA8517" w14:textId="77777777" w:rsidR="002246D0" w:rsidRDefault="002246D0" w:rsidP="002246D0">
      <w:pPr>
        <w:autoSpaceDE w:val="0"/>
        <w:autoSpaceDN w:val="0"/>
        <w:adjustRightInd w:val="0"/>
        <w:spacing w:line="360" w:lineRule="auto"/>
        <w:ind w:firstLine="2127"/>
        <w:jc w:val="both"/>
        <w:rPr>
          <w:rFonts w:cs="Calibri"/>
          <w:sz w:val="24"/>
          <w:szCs w:val="24"/>
        </w:rPr>
      </w:pPr>
      <w:r>
        <w:rPr>
          <w:rFonts w:cs="Calibri"/>
          <w:sz w:val="24"/>
          <w:szCs w:val="24"/>
        </w:rPr>
        <w:t>Por consequência, em caso de rejeição da questão preliminar posta no tópico anterior, a CAIXA requer sejam julgados improcedentes os pedidos deduzidos contra esta Promovida.</w:t>
      </w:r>
    </w:p>
    <w:p w14:paraId="4390830B" w14:textId="783BF707" w:rsidR="002246D0" w:rsidRDefault="002246D0" w:rsidP="002246D0">
      <w:pPr>
        <w:autoSpaceDE w:val="0"/>
        <w:autoSpaceDN w:val="0"/>
        <w:adjustRightInd w:val="0"/>
        <w:spacing w:line="360" w:lineRule="auto"/>
        <w:ind w:firstLine="2127"/>
        <w:jc w:val="both"/>
      </w:pPr>
      <w:r>
        <w:rPr>
          <w:rFonts w:cs="Calibri"/>
          <w:sz w:val="24"/>
          <w:szCs w:val="24"/>
        </w:rPr>
        <w:t xml:space="preserve">Ademais, </w:t>
      </w:r>
      <w:r>
        <w:rPr>
          <w:b/>
          <w:bCs/>
        </w:rPr>
        <w:t xml:space="preserve">contratação realizada </w:t>
      </w:r>
      <w:r>
        <w:rPr>
          <w:b/>
          <w:bCs/>
          <w:i/>
          <w:iCs/>
        </w:rPr>
        <w:t>após a entrega das obras do empreendimento em questão</w:t>
      </w:r>
      <w:r>
        <w:rPr>
          <w:b/>
          <w:bCs/>
        </w:rPr>
        <w:t xml:space="preserve">, a justificar, inclusive, alegação de má-fé da parte </w:t>
      </w:r>
      <w:r w:rsidR="003C3A10">
        <w:rPr>
          <w:b/>
          <w:bCs/>
        </w:rPr>
        <w:t>recorrente</w:t>
      </w:r>
      <w:r>
        <w:rPr>
          <w:b/>
          <w:bCs/>
        </w:rPr>
        <w:t>, porquanto inadmissível qualquer alegação de dano decorrente de atraso na entrega de obras, tese que, aliás, afigura-se incompatível com a própria natureza do programa em referência, o que precisa ser claramente esclarecido ao Juízo.</w:t>
      </w:r>
    </w:p>
    <w:p w14:paraId="1A0025F9" w14:textId="77777777" w:rsidR="002246D0" w:rsidRPr="00F96CDB" w:rsidRDefault="002246D0" w:rsidP="002246D0">
      <w:pPr>
        <w:autoSpaceDE w:val="0"/>
        <w:autoSpaceDN w:val="0"/>
        <w:adjustRightInd w:val="0"/>
        <w:spacing w:line="360" w:lineRule="auto"/>
        <w:ind w:firstLine="2127"/>
        <w:jc w:val="both"/>
        <w:rPr>
          <w:rFonts w:cs="Calibri"/>
          <w:b/>
          <w:bCs/>
          <w:sz w:val="24"/>
          <w:szCs w:val="24"/>
          <w:u w:val="single"/>
        </w:rPr>
      </w:pPr>
      <w:r w:rsidRPr="00F96CDB">
        <w:rPr>
          <w:rFonts w:cs="Calibri"/>
          <w:b/>
          <w:bCs/>
          <w:sz w:val="24"/>
          <w:szCs w:val="24"/>
          <w:u w:val="single"/>
        </w:rPr>
        <w:t xml:space="preserve">Não há o que se falar em indenização por atraso na obra em contratos do PMCMV I, quando o contrato só e firmado quando o imóvel está PRONTO para ser entregue ao beneficiário. </w:t>
      </w:r>
    </w:p>
    <w:p w14:paraId="12BD874B"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O Programa Minha Casa Minha Vida - PMCMV foi instituído com a finalidade de criar mecanismos de incentivo à produção e à aquisição de novas unidades habitacionais pelas famílias, conforme preconizado pela Lei federal nº 11.977/09, alterada pela Lei federal nº 12.424/2011, regulamentada pelo Decreto nº 7.499/11.</w:t>
      </w:r>
    </w:p>
    <w:p w14:paraId="0BFC06D1"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Não se deve olvidar, entretanto, que a Lei estabelece requisitos e etapas a serem cumpridas pelos cadastrados no programa. Entre elas, destaco que o contrato de financiamento somente é firmado entre o mutuário e a CEF após o sorteio dos contemplados pelo Município e análise da documentação do sorteado para fins de enquadramento nos requisitos do art. 3º da Lei 11.977/2009</w:t>
      </w:r>
    </w:p>
    <w:p w14:paraId="5E9E26BD"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Somente a partir da assinatura do contrato é que passaria a existir ter relação jurídica com os beneficiários.</w:t>
      </w:r>
    </w:p>
    <w:p w14:paraId="7440FDF1"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Logo, apenas o interesse jurídico da parte beneficiária no recebimento do imóvel nasceria apenas após ter sido comprovado o preenchimento dos requisitos legais e após contemplada com a unidade habitacional e convocada para entrega da documentação.</w:t>
      </w:r>
    </w:p>
    <w:p w14:paraId="7C5B0C38"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O Poder Público participa do Programa a partir da assinatura do Termo de Adesão. Compete ao Ente Público encaminhar a relação dos candidatos selecionados somente após iniciada a obra e com previsão efetiva de entrega.</w:t>
      </w:r>
    </w:p>
    <w:p w14:paraId="4BF0C258"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lastRenderedPageBreak/>
        <w:t>A relação dos candidatos encaminhada pelo ente público passa por análise da Caixa/Fundo em relação ao enquadramento dos critérios exigidos e impedimentos para aprovação. O simples encaminhamento da relação de candidatos não garante o acesso ao benefício de forma automática, pois é necessária análise e aprovação do cadastro para compor a relação de beneficiários aprovados.</w:t>
      </w:r>
    </w:p>
    <w:p w14:paraId="6E5C8980"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A aprovação do cadastro também não é garantia de destinação do imóvel.</w:t>
      </w:r>
    </w:p>
    <w:p w14:paraId="6F13E40A" w14:textId="77777777" w:rsidR="002246D0" w:rsidRPr="00F96CDB" w:rsidRDefault="002246D0" w:rsidP="002246D0">
      <w:pPr>
        <w:autoSpaceDE w:val="0"/>
        <w:autoSpaceDN w:val="0"/>
        <w:adjustRightInd w:val="0"/>
        <w:spacing w:line="360" w:lineRule="auto"/>
        <w:ind w:firstLine="2127"/>
        <w:jc w:val="both"/>
        <w:rPr>
          <w:rFonts w:cs="Calibri"/>
          <w:sz w:val="24"/>
          <w:szCs w:val="24"/>
        </w:rPr>
      </w:pPr>
      <w:r w:rsidRPr="00F96CDB">
        <w:rPr>
          <w:rFonts w:cs="Calibri"/>
          <w:sz w:val="24"/>
          <w:szCs w:val="24"/>
        </w:rPr>
        <w:t>Geralmente os contratos são gerados somente quando da conclusão e entrega do empreendimento, quando foram assinados pelas partes, momento que inicia as suas obrigações.</w:t>
      </w:r>
    </w:p>
    <w:p w14:paraId="69204D3D" w14:textId="77777777" w:rsidR="002246D0" w:rsidRPr="00F96CDB" w:rsidRDefault="002246D0" w:rsidP="002246D0">
      <w:pPr>
        <w:autoSpaceDE w:val="0"/>
        <w:autoSpaceDN w:val="0"/>
        <w:adjustRightInd w:val="0"/>
        <w:spacing w:line="360" w:lineRule="auto"/>
        <w:ind w:firstLine="2127"/>
        <w:jc w:val="both"/>
        <w:rPr>
          <w:rFonts w:cs="Calibri"/>
          <w:b/>
          <w:bCs/>
          <w:sz w:val="24"/>
          <w:szCs w:val="24"/>
        </w:rPr>
      </w:pPr>
      <w:r>
        <w:rPr>
          <w:rFonts w:cs="Calibri"/>
          <w:sz w:val="24"/>
          <w:szCs w:val="24"/>
        </w:rPr>
        <w:t xml:space="preserve">Reza o </w:t>
      </w:r>
      <w:r w:rsidRPr="00F96CDB">
        <w:rPr>
          <w:rFonts w:cs="Calibri"/>
          <w:sz w:val="24"/>
          <w:szCs w:val="24"/>
        </w:rPr>
        <w:t>art. 3º da Lei 11.977/2009:" a Lei estabelece requisitos e etapas a serem cumpridas pelos cadastrados no programa. Entre elas, destaco que o contrato de financiamento somente é firmado entre o mutuário e a CEF após o sorteio dos contemplados pelo Município e análise da documentação do sorteado para fins de enquadramento nos requisitos do art. 3º da Lei 11.977/2009", e que </w:t>
      </w:r>
      <w:r>
        <w:rPr>
          <w:rFonts w:cs="Calibri"/>
          <w:sz w:val="24"/>
          <w:szCs w:val="24"/>
        </w:rPr>
        <w:t xml:space="preserve"> </w:t>
      </w:r>
      <w:r w:rsidRPr="00F96CDB">
        <w:rPr>
          <w:rFonts w:cs="Calibri"/>
          <w:sz w:val="24"/>
          <w:szCs w:val="24"/>
        </w:rPr>
        <w:t>"somente a partir da assinatura do contrato é que o Fundo passa a ter relação jurídica com os mutuários e isso somente se processa após a finalização da construção do imóvel</w:t>
      </w:r>
      <w:r>
        <w:rPr>
          <w:rFonts w:cs="Calibri"/>
          <w:sz w:val="24"/>
          <w:szCs w:val="24"/>
        </w:rPr>
        <w:t xml:space="preserve"> </w:t>
      </w:r>
      <w:r w:rsidRPr="00F96CDB">
        <w:rPr>
          <w:rFonts w:cs="Calibri"/>
          <w:b/>
          <w:bCs/>
          <w:sz w:val="24"/>
          <w:szCs w:val="24"/>
        </w:rPr>
        <w:t>e o fato e que apenas após o imóvel PRONTO e assinado o contrato é que o Fundo passa a ter relação jurídica com os beneficiários, e isso só ocorre após a finalização da construção do imóvel.</w:t>
      </w:r>
    </w:p>
    <w:p w14:paraId="174015DF" w14:textId="77777777" w:rsidR="002246D0" w:rsidRDefault="002246D0" w:rsidP="002246D0">
      <w:pPr>
        <w:autoSpaceDE w:val="0"/>
        <w:autoSpaceDN w:val="0"/>
        <w:adjustRightInd w:val="0"/>
        <w:spacing w:line="360" w:lineRule="auto"/>
        <w:ind w:firstLine="2127"/>
        <w:jc w:val="both"/>
        <w:rPr>
          <w:rFonts w:cs="Calibri"/>
          <w:sz w:val="24"/>
          <w:szCs w:val="24"/>
        </w:rPr>
      </w:pPr>
    </w:p>
    <w:p w14:paraId="1093D765" w14:textId="77777777" w:rsidR="002246D0" w:rsidRPr="00E42799" w:rsidRDefault="002246D0" w:rsidP="002246D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cs="Calibri"/>
          <w:b/>
          <w:bCs/>
          <w:sz w:val="24"/>
          <w:szCs w:val="24"/>
        </w:rPr>
      </w:pPr>
      <w:r w:rsidRPr="00E42799">
        <w:rPr>
          <w:rFonts w:cs="Calibri"/>
          <w:b/>
          <w:bCs/>
          <w:sz w:val="24"/>
          <w:szCs w:val="24"/>
        </w:rPr>
        <w:t>4.2 DA IMPOSSIBILIDADE DE APLICAÇÃO DAS NORMAS DO CDC PARA FUNDAMENTAR A RESPONSABILIDADE ATRIBUÍDA À CAIXA. PROGRAMA MINHA CASA MINHA VIDA- ENTIDADES – IMPLANTAÇÃO DE POLÍTICA PÚBLICA</w:t>
      </w:r>
    </w:p>
    <w:p w14:paraId="12BAE6D5" w14:textId="77777777" w:rsidR="002246D0" w:rsidRPr="00E42799" w:rsidRDefault="002246D0" w:rsidP="002246D0">
      <w:pPr>
        <w:autoSpaceDE w:val="0"/>
        <w:autoSpaceDN w:val="0"/>
        <w:adjustRightInd w:val="0"/>
        <w:spacing w:line="360" w:lineRule="auto"/>
        <w:jc w:val="both"/>
        <w:rPr>
          <w:rFonts w:cs="Calibri"/>
          <w:b/>
          <w:bCs/>
          <w:sz w:val="24"/>
          <w:szCs w:val="24"/>
        </w:rPr>
      </w:pPr>
    </w:p>
    <w:p w14:paraId="438B4D75" w14:textId="325D9117" w:rsidR="002246D0" w:rsidRDefault="002246D0" w:rsidP="00334A67">
      <w:pPr>
        <w:autoSpaceDE w:val="0"/>
        <w:autoSpaceDN w:val="0"/>
        <w:adjustRightInd w:val="0"/>
        <w:spacing w:line="360" w:lineRule="auto"/>
        <w:ind w:firstLine="2127"/>
        <w:jc w:val="both"/>
        <w:rPr>
          <w:rFonts w:cs="Calibri"/>
          <w:sz w:val="24"/>
          <w:szCs w:val="24"/>
        </w:rPr>
      </w:pPr>
      <w:r w:rsidRPr="00E42799">
        <w:rPr>
          <w:rFonts w:cs="Calibri"/>
          <w:sz w:val="24"/>
          <w:szCs w:val="24"/>
        </w:rPr>
        <w:t xml:space="preserve">Cumpre esclarecer que a natureza jurídica do </w:t>
      </w:r>
      <w:r w:rsidRPr="00273D03">
        <w:rPr>
          <w:rFonts w:cs="Calibri"/>
          <w:b/>
          <w:bCs/>
          <w:sz w:val="24"/>
          <w:szCs w:val="24"/>
        </w:rPr>
        <w:t>Programa Minha Casa Minha Vida</w:t>
      </w:r>
      <w:r>
        <w:rPr>
          <w:rFonts w:cs="Calibri"/>
          <w:b/>
          <w:bCs/>
          <w:sz w:val="24"/>
          <w:szCs w:val="24"/>
        </w:rPr>
        <w:t xml:space="preserve"> – FAIXA I – </w:t>
      </w:r>
      <w:proofErr w:type="gramStart"/>
      <w:r>
        <w:rPr>
          <w:rFonts w:cs="Calibri"/>
          <w:b/>
          <w:bCs/>
          <w:sz w:val="24"/>
          <w:szCs w:val="24"/>
        </w:rPr>
        <w:t xml:space="preserve">FDS </w:t>
      </w:r>
      <w:r w:rsidRPr="00273D03">
        <w:rPr>
          <w:rFonts w:cs="Calibri"/>
          <w:b/>
          <w:bCs/>
          <w:sz w:val="24"/>
          <w:szCs w:val="24"/>
        </w:rPr>
        <w:t xml:space="preserve"> –</w:t>
      </w:r>
      <w:proofErr w:type="gramEnd"/>
      <w:r w:rsidRPr="00273D03">
        <w:rPr>
          <w:rFonts w:cs="Calibri"/>
          <w:b/>
          <w:bCs/>
          <w:sz w:val="24"/>
          <w:szCs w:val="24"/>
        </w:rPr>
        <w:t xml:space="preserve"> Entidades</w:t>
      </w:r>
      <w:r w:rsidRPr="00E42799">
        <w:rPr>
          <w:rFonts w:cs="Calibri"/>
          <w:sz w:val="24"/>
          <w:szCs w:val="24"/>
        </w:rPr>
        <w:t xml:space="preserve"> e de política pública de habitação do Governo Federal, não podendo ser confundido com típica relação de consumo albergada pelo CDC. </w:t>
      </w:r>
    </w:p>
    <w:p w14:paraId="522766E2" w14:textId="77777777" w:rsidR="002246D0" w:rsidRDefault="002246D0" w:rsidP="002246D0">
      <w:pPr>
        <w:autoSpaceDE w:val="0"/>
        <w:autoSpaceDN w:val="0"/>
        <w:adjustRightInd w:val="0"/>
        <w:spacing w:line="360" w:lineRule="auto"/>
        <w:ind w:firstLine="2268"/>
        <w:jc w:val="both"/>
        <w:rPr>
          <w:rFonts w:cs="Calibri"/>
          <w:sz w:val="24"/>
          <w:szCs w:val="24"/>
        </w:rPr>
      </w:pPr>
    </w:p>
    <w:p w14:paraId="4CA2BCB9" w14:textId="77777777" w:rsidR="002246D0" w:rsidRPr="00E42799" w:rsidRDefault="002246D0" w:rsidP="002246D0">
      <w:pPr>
        <w:autoSpaceDE w:val="0"/>
        <w:autoSpaceDN w:val="0"/>
        <w:adjustRightInd w:val="0"/>
        <w:spacing w:line="360" w:lineRule="auto"/>
        <w:ind w:firstLine="2268"/>
        <w:jc w:val="both"/>
        <w:rPr>
          <w:rFonts w:cs="Calibri"/>
          <w:sz w:val="24"/>
          <w:szCs w:val="24"/>
        </w:rPr>
      </w:pPr>
      <w:r w:rsidRPr="00E42799">
        <w:rPr>
          <w:rFonts w:cs="Calibri"/>
          <w:sz w:val="24"/>
          <w:szCs w:val="24"/>
        </w:rPr>
        <w:t>Contudo, no programa social em questão não há as figuras de consumidor nem fornecedor; tampouco prestador de serviços ou produtos negociados, mas apenas a entrega de um imóvel edificado com recursos públicos, mediante subsídios e subvenções, a um beneficiário assim identificado em regular processo de seleção e classificação.</w:t>
      </w:r>
    </w:p>
    <w:p w14:paraId="1A2EF022" w14:textId="77777777" w:rsidR="002246D0" w:rsidRPr="00E42799" w:rsidRDefault="002246D0" w:rsidP="002246D0">
      <w:pPr>
        <w:autoSpaceDE w:val="0"/>
        <w:autoSpaceDN w:val="0"/>
        <w:adjustRightInd w:val="0"/>
        <w:spacing w:line="360" w:lineRule="auto"/>
        <w:ind w:firstLine="2268"/>
        <w:jc w:val="both"/>
        <w:rPr>
          <w:rFonts w:cs="Calibri"/>
          <w:sz w:val="24"/>
          <w:szCs w:val="24"/>
        </w:rPr>
      </w:pPr>
    </w:p>
    <w:p w14:paraId="15BF038C" w14:textId="77777777" w:rsidR="002246D0" w:rsidRPr="00E42799" w:rsidRDefault="002246D0" w:rsidP="002246D0">
      <w:pPr>
        <w:autoSpaceDE w:val="0"/>
        <w:autoSpaceDN w:val="0"/>
        <w:adjustRightInd w:val="0"/>
        <w:spacing w:line="360" w:lineRule="auto"/>
        <w:ind w:firstLine="2268"/>
        <w:jc w:val="both"/>
        <w:rPr>
          <w:rFonts w:cs="Calibri"/>
          <w:sz w:val="24"/>
          <w:szCs w:val="24"/>
        </w:rPr>
      </w:pPr>
      <w:r w:rsidRPr="00E42799">
        <w:rPr>
          <w:rFonts w:cs="Calibri"/>
          <w:sz w:val="24"/>
          <w:szCs w:val="24"/>
        </w:rPr>
        <w:t>Por conta disso, a jurisprudência vem pacificando e corroborando o</w:t>
      </w:r>
    </w:p>
    <w:p w14:paraId="5BF7D85E" w14:textId="77777777" w:rsidR="002246D0" w:rsidRPr="00E42799" w:rsidRDefault="002246D0" w:rsidP="002246D0">
      <w:pPr>
        <w:autoSpaceDE w:val="0"/>
        <w:autoSpaceDN w:val="0"/>
        <w:adjustRightInd w:val="0"/>
        <w:spacing w:line="360" w:lineRule="auto"/>
        <w:jc w:val="both"/>
        <w:rPr>
          <w:rFonts w:cs="Calibri"/>
          <w:sz w:val="24"/>
          <w:szCs w:val="24"/>
        </w:rPr>
      </w:pPr>
      <w:r w:rsidRPr="00E42799">
        <w:rPr>
          <w:rFonts w:cs="Calibri"/>
          <w:sz w:val="24"/>
          <w:szCs w:val="24"/>
        </w:rPr>
        <w:lastRenderedPageBreak/>
        <w:t>entendimento de que neste tipo de ação é indevida a aplicação dos dispositivos do CDC:</w:t>
      </w:r>
    </w:p>
    <w:p w14:paraId="4E346511" w14:textId="77777777" w:rsidR="002246D0" w:rsidRPr="00E42799" w:rsidRDefault="002246D0" w:rsidP="002246D0">
      <w:pPr>
        <w:autoSpaceDE w:val="0"/>
        <w:autoSpaceDN w:val="0"/>
        <w:adjustRightInd w:val="0"/>
        <w:spacing w:line="360" w:lineRule="auto"/>
        <w:jc w:val="both"/>
        <w:rPr>
          <w:rFonts w:cs="Calibri"/>
          <w:sz w:val="24"/>
          <w:szCs w:val="24"/>
        </w:rPr>
      </w:pPr>
    </w:p>
    <w:p w14:paraId="4B160BA0" w14:textId="77777777" w:rsidR="002246D0" w:rsidRPr="00E42799" w:rsidRDefault="002246D0" w:rsidP="002246D0">
      <w:pPr>
        <w:autoSpaceDE w:val="0"/>
        <w:autoSpaceDN w:val="0"/>
        <w:adjustRightInd w:val="0"/>
        <w:spacing w:line="360" w:lineRule="auto"/>
        <w:ind w:left="2268"/>
        <w:jc w:val="both"/>
        <w:rPr>
          <w:rFonts w:cs="Calibri"/>
          <w:sz w:val="24"/>
          <w:szCs w:val="24"/>
        </w:rPr>
      </w:pPr>
      <w:r w:rsidRPr="00E42799">
        <w:rPr>
          <w:rFonts w:cs="Calibri"/>
        </w:rPr>
        <w:t>“</w:t>
      </w:r>
      <w:r w:rsidRPr="00E42799">
        <w:rPr>
          <w:rFonts w:cs="Calibri"/>
          <w:b/>
          <w:bCs/>
        </w:rPr>
        <w:t xml:space="preserve">CIVIL. PROCESSUAL CIVIL. APELAÇÃO CÍVEL. MÚTUO HABITACIONAL VINCULADO AO PMCMV. (...). NORMAS DO CDC: INAPLICABILIDADE. </w:t>
      </w:r>
      <w:r w:rsidRPr="00E42799">
        <w:rPr>
          <w:rFonts w:cs="Calibri"/>
        </w:rPr>
        <w:t xml:space="preserve">(...). 1. O Programa Minha Casa Minha Vida e regrado pela Lei no 11.977/2009 que, em seu artigo 9o, expressamente confere a CEF a gestão dos recursos destinados ao Programa Nacional de </w:t>
      </w:r>
      <w:proofErr w:type="spellStart"/>
      <w:r w:rsidRPr="00E42799">
        <w:rPr>
          <w:rFonts w:cs="Calibri"/>
        </w:rPr>
        <w:t>Habitacao</w:t>
      </w:r>
      <w:proofErr w:type="spellEnd"/>
      <w:r w:rsidRPr="00E42799">
        <w:rPr>
          <w:rFonts w:cs="Calibri"/>
        </w:rPr>
        <w:t xml:space="preserve"> Urbana - PNHU, subprograma integrante daquele. 3. O Programa Minha Casa Minha Vida - PMCMV, regido pela Lei no 11.977/2009, consubstancia-se em um programa de Governo destinado a ampliar o acesso das populações mais carentes a moradia. 4. </w:t>
      </w:r>
      <w:r w:rsidRPr="00E42799">
        <w:rPr>
          <w:rFonts w:cs="Calibri"/>
          <w:b/>
          <w:bCs/>
        </w:rPr>
        <w:t>Impossível a aplicação das normas do Código de Defesa do Consumidor aos contratos vinculados ao PMCMV, na medida em que referidos contratos não caracterizam relação de consumo nem tampouco apresentam conotação de serviço bancário, mas sim consubstanciam-se em programa habitacional custeado com recursos público</w:t>
      </w:r>
      <w:r w:rsidRPr="00E42799">
        <w:rPr>
          <w:rFonts w:cs="Calibri"/>
        </w:rPr>
        <w:t xml:space="preserve">s. Precedente. (...). Apelação parcialmente provida. (AC 00061939820124036108, Relator Desembargador </w:t>
      </w:r>
      <w:proofErr w:type="spellStart"/>
      <w:r w:rsidRPr="00E42799">
        <w:rPr>
          <w:rFonts w:cs="Calibri"/>
        </w:rPr>
        <w:t>Helio</w:t>
      </w:r>
      <w:proofErr w:type="spellEnd"/>
      <w:r w:rsidRPr="00E42799">
        <w:rPr>
          <w:rFonts w:cs="Calibri"/>
        </w:rPr>
        <w:t xml:space="preserve"> Nogueira, 3a Turma do TRF3, publicado no DJe3 de 16/05/2017). </w:t>
      </w:r>
    </w:p>
    <w:p w14:paraId="27C8D9C9" w14:textId="77777777" w:rsidR="002246D0" w:rsidRPr="00E42799" w:rsidRDefault="002246D0" w:rsidP="002246D0">
      <w:pPr>
        <w:autoSpaceDE w:val="0"/>
        <w:autoSpaceDN w:val="0"/>
        <w:adjustRightInd w:val="0"/>
        <w:spacing w:line="360" w:lineRule="auto"/>
        <w:ind w:firstLine="2268"/>
        <w:jc w:val="both"/>
        <w:rPr>
          <w:rFonts w:cs="Calibri"/>
          <w:sz w:val="24"/>
          <w:szCs w:val="24"/>
        </w:rPr>
      </w:pPr>
    </w:p>
    <w:p w14:paraId="5F57B3A2" w14:textId="77777777" w:rsidR="002246D0" w:rsidRPr="00E42799" w:rsidRDefault="002246D0" w:rsidP="002246D0">
      <w:pPr>
        <w:autoSpaceDE w:val="0"/>
        <w:autoSpaceDN w:val="0"/>
        <w:adjustRightInd w:val="0"/>
        <w:spacing w:line="360" w:lineRule="auto"/>
        <w:ind w:firstLine="2268"/>
        <w:jc w:val="both"/>
        <w:rPr>
          <w:rFonts w:cs="Calibri"/>
          <w:b/>
          <w:bCs/>
          <w:sz w:val="24"/>
          <w:szCs w:val="24"/>
        </w:rPr>
      </w:pPr>
      <w:r w:rsidRPr="00E42799">
        <w:rPr>
          <w:rFonts w:cs="Calibri"/>
          <w:sz w:val="24"/>
          <w:szCs w:val="24"/>
        </w:rPr>
        <w:t>Assim, resta evidente que eventual discussão relacionada ao programa deve ser tratada no âmbito do Direito Público</w:t>
      </w:r>
      <w:r w:rsidRPr="00E42799">
        <w:rPr>
          <w:rFonts w:cs="Calibri"/>
          <w:b/>
          <w:bCs/>
          <w:sz w:val="24"/>
          <w:szCs w:val="24"/>
        </w:rPr>
        <w:t xml:space="preserve">, afigurando-se descabido equiparar o programa social de habitação do Governo Federal direcionado às famílias de baixíssima renda com típicas relações de consumo a ensejar a aplicação do Código de Defesa do Consumidor, sem ressalvas. </w:t>
      </w:r>
    </w:p>
    <w:p w14:paraId="42932FDC" w14:textId="77777777" w:rsidR="002246D0" w:rsidRPr="00E42799" w:rsidRDefault="002246D0" w:rsidP="002246D0">
      <w:pPr>
        <w:autoSpaceDE w:val="0"/>
        <w:autoSpaceDN w:val="0"/>
        <w:adjustRightInd w:val="0"/>
        <w:spacing w:line="360" w:lineRule="auto"/>
        <w:ind w:firstLine="2268"/>
        <w:jc w:val="both"/>
        <w:rPr>
          <w:rFonts w:cs="Calibri"/>
          <w:b/>
          <w:bCs/>
          <w:sz w:val="24"/>
          <w:szCs w:val="24"/>
        </w:rPr>
      </w:pPr>
    </w:p>
    <w:p w14:paraId="239FD4E1" w14:textId="77777777" w:rsidR="002246D0" w:rsidRPr="00E42799" w:rsidRDefault="002246D0" w:rsidP="002246D0">
      <w:pPr>
        <w:autoSpaceDE w:val="0"/>
        <w:autoSpaceDN w:val="0"/>
        <w:adjustRightInd w:val="0"/>
        <w:spacing w:line="360" w:lineRule="auto"/>
        <w:ind w:firstLine="2268"/>
        <w:jc w:val="both"/>
        <w:rPr>
          <w:rFonts w:cs="Calibri"/>
          <w:b/>
          <w:bCs/>
          <w:sz w:val="24"/>
          <w:szCs w:val="24"/>
        </w:rPr>
      </w:pPr>
      <w:r w:rsidRPr="00E42799">
        <w:rPr>
          <w:rFonts w:cs="Calibri"/>
          <w:b/>
          <w:bCs/>
          <w:sz w:val="24"/>
          <w:szCs w:val="24"/>
        </w:rPr>
        <w:t xml:space="preserve">Além disso, a pretensão direta do processo é o ressarcimento do erário (recursos desembolsados pelo FDS à EO) e retomada do empreendimento habitacional. Logo, apenas </w:t>
      </w:r>
      <w:r>
        <w:rPr>
          <w:rFonts w:cs="Calibri"/>
          <w:b/>
          <w:bCs/>
          <w:sz w:val="24"/>
          <w:szCs w:val="24"/>
        </w:rPr>
        <w:t>indiretamente o objeto da lide reflete nos</w:t>
      </w:r>
      <w:r w:rsidRPr="00E42799">
        <w:rPr>
          <w:rFonts w:cs="Calibri"/>
          <w:b/>
          <w:bCs/>
          <w:sz w:val="24"/>
          <w:szCs w:val="24"/>
        </w:rPr>
        <w:t xml:space="preserve"> contratos individuais de aquisição </w:t>
      </w:r>
      <w:r>
        <w:rPr>
          <w:rFonts w:cs="Calibri"/>
          <w:b/>
          <w:bCs/>
          <w:sz w:val="24"/>
          <w:szCs w:val="24"/>
        </w:rPr>
        <w:t>dos imóveis</w:t>
      </w:r>
      <w:r w:rsidRPr="00E42799">
        <w:rPr>
          <w:rFonts w:cs="Calibri"/>
          <w:b/>
          <w:bCs/>
          <w:sz w:val="24"/>
          <w:szCs w:val="24"/>
        </w:rPr>
        <w:t>.</w:t>
      </w:r>
    </w:p>
    <w:p w14:paraId="45B679EE" w14:textId="77777777" w:rsidR="002246D0" w:rsidRPr="00E42799" w:rsidRDefault="002246D0" w:rsidP="002246D0">
      <w:pPr>
        <w:autoSpaceDE w:val="0"/>
        <w:autoSpaceDN w:val="0"/>
        <w:adjustRightInd w:val="0"/>
        <w:spacing w:line="360" w:lineRule="auto"/>
        <w:ind w:firstLine="2268"/>
        <w:jc w:val="both"/>
        <w:rPr>
          <w:rFonts w:cs="Calibri"/>
          <w:b/>
          <w:bCs/>
          <w:sz w:val="24"/>
          <w:szCs w:val="24"/>
        </w:rPr>
      </w:pPr>
    </w:p>
    <w:p w14:paraId="0470702A" w14:textId="67679C3F" w:rsidR="002246D0" w:rsidRPr="00E42799" w:rsidRDefault="002246D0" w:rsidP="002246D0">
      <w:pPr>
        <w:autoSpaceDE w:val="0"/>
        <w:autoSpaceDN w:val="0"/>
        <w:adjustRightInd w:val="0"/>
        <w:spacing w:line="360" w:lineRule="auto"/>
        <w:ind w:firstLine="2268"/>
        <w:jc w:val="both"/>
        <w:rPr>
          <w:rFonts w:cs="Calibri"/>
          <w:sz w:val="24"/>
          <w:szCs w:val="24"/>
        </w:rPr>
      </w:pPr>
      <w:r w:rsidRPr="00E42799">
        <w:rPr>
          <w:rFonts w:cs="Calibri"/>
          <w:b/>
          <w:bCs/>
          <w:sz w:val="24"/>
          <w:szCs w:val="24"/>
        </w:rPr>
        <w:t>Dessa forma, a CAIXA requer o indeferimento da responsabilidade objetiva que lhe foi atribuída pel</w:t>
      </w:r>
      <w:r>
        <w:rPr>
          <w:rFonts w:cs="Calibri"/>
          <w:b/>
          <w:bCs/>
          <w:sz w:val="24"/>
          <w:szCs w:val="24"/>
        </w:rPr>
        <w:t>a parte recorrente</w:t>
      </w:r>
      <w:r w:rsidRPr="00E42799">
        <w:rPr>
          <w:rFonts w:cs="Calibri"/>
          <w:b/>
          <w:bCs/>
          <w:sz w:val="24"/>
          <w:szCs w:val="24"/>
        </w:rPr>
        <w:t>, bem como seja afastada a aplicação da Súmula 297 ao caso em tela, tendo em vista que a pretensão da ação não diz respeito a relação de financiamento habitacional típica.</w:t>
      </w:r>
    </w:p>
    <w:p w14:paraId="688BA06C" w14:textId="77777777" w:rsidR="002246D0" w:rsidRDefault="002246D0" w:rsidP="002246D0">
      <w:pPr>
        <w:autoSpaceDE w:val="0"/>
        <w:autoSpaceDN w:val="0"/>
        <w:adjustRightInd w:val="0"/>
        <w:spacing w:line="360" w:lineRule="auto"/>
        <w:ind w:firstLine="2268"/>
        <w:jc w:val="both"/>
        <w:rPr>
          <w:rFonts w:cs="Calibri"/>
          <w:b/>
          <w:bCs/>
          <w:sz w:val="24"/>
          <w:szCs w:val="24"/>
        </w:rPr>
      </w:pPr>
    </w:p>
    <w:p w14:paraId="4F962CAB" w14:textId="3BD78BE6" w:rsidR="002246D0" w:rsidRPr="00A90019" w:rsidRDefault="002246D0" w:rsidP="002246D0">
      <w:pPr>
        <w:autoSpaceDE w:val="0"/>
        <w:autoSpaceDN w:val="0"/>
        <w:adjustRightInd w:val="0"/>
        <w:spacing w:line="360" w:lineRule="auto"/>
        <w:ind w:firstLine="2268"/>
        <w:jc w:val="both"/>
        <w:rPr>
          <w:rFonts w:cs="Calibri"/>
          <w:b/>
          <w:bCs/>
          <w:sz w:val="24"/>
          <w:szCs w:val="24"/>
        </w:rPr>
      </w:pPr>
      <w:r w:rsidRPr="00690CB6">
        <w:rPr>
          <w:rFonts w:cs="Calibri"/>
          <w:b/>
          <w:bCs/>
          <w:sz w:val="24"/>
          <w:szCs w:val="24"/>
          <w:u w:val="single"/>
        </w:rPr>
        <w:t xml:space="preserve">Salientamos ainda que, a CAIXA seja parte ilegítima para qualquer indenização por lucros cessantes/dano material e moral </w:t>
      </w:r>
      <w:r>
        <w:rPr>
          <w:rFonts w:cs="Calibri"/>
          <w:b/>
          <w:bCs/>
          <w:sz w:val="24"/>
          <w:szCs w:val="24"/>
        </w:rPr>
        <w:t xml:space="preserve">por eventual atraso de obra deve ser considerando </w:t>
      </w:r>
      <w:r>
        <w:rPr>
          <w:rFonts w:cs="Calibri"/>
          <w:b/>
          <w:bCs/>
          <w:sz w:val="24"/>
          <w:szCs w:val="24"/>
        </w:rPr>
        <w:lastRenderedPageBreak/>
        <w:t>também o julgamento que</w:t>
      </w:r>
      <w:r w:rsidRPr="00A90019">
        <w:rPr>
          <w:rFonts w:cs="Calibri"/>
          <w:b/>
          <w:bCs/>
          <w:sz w:val="24"/>
          <w:szCs w:val="24"/>
        </w:rPr>
        <w:t xml:space="preserve"> em pauta virtual ocorrida entre os dias 13.04 e 19.04, a TNU deu provimento ao PUIL 5001229-07.2019.4.04.7206 para considerar que o atraso na entrega da unidade imobiliária, por si só, não configura o dano moral </w:t>
      </w:r>
      <w:r w:rsidRPr="00F745C7">
        <w:rPr>
          <w:rFonts w:cs="Calibri"/>
          <w:b/>
          <w:bCs/>
          <w:i/>
          <w:iCs/>
          <w:sz w:val="24"/>
          <w:szCs w:val="24"/>
        </w:rPr>
        <w:t xml:space="preserve">in </w:t>
      </w:r>
      <w:proofErr w:type="spellStart"/>
      <w:r w:rsidRPr="00F745C7">
        <w:rPr>
          <w:rFonts w:cs="Calibri"/>
          <w:b/>
          <w:bCs/>
          <w:i/>
          <w:iCs/>
          <w:sz w:val="24"/>
          <w:szCs w:val="24"/>
        </w:rPr>
        <w:t>re</w:t>
      </w:r>
      <w:proofErr w:type="spellEnd"/>
      <w:r w:rsidRPr="00F745C7">
        <w:rPr>
          <w:rFonts w:cs="Calibri"/>
          <w:b/>
          <w:bCs/>
          <w:i/>
          <w:iCs/>
          <w:sz w:val="24"/>
          <w:szCs w:val="24"/>
        </w:rPr>
        <w:t xml:space="preserve"> </w:t>
      </w:r>
      <w:proofErr w:type="spellStart"/>
      <w:r w:rsidRPr="00F745C7">
        <w:rPr>
          <w:rFonts w:cs="Calibri"/>
          <w:b/>
          <w:bCs/>
          <w:i/>
          <w:iCs/>
          <w:sz w:val="24"/>
          <w:szCs w:val="24"/>
        </w:rPr>
        <w:t>ipsa</w:t>
      </w:r>
      <w:proofErr w:type="spellEnd"/>
      <w:r w:rsidRPr="00A90019">
        <w:rPr>
          <w:rFonts w:cs="Calibri"/>
          <w:b/>
          <w:bCs/>
          <w:sz w:val="24"/>
          <w:szCs w:val="24"/>
        </w:rPr>
        <w:t>.</w:t>
      </w:r>
    </w:p>
    <w:p w14:paraId="7AAB9E47" w14:textId="77777777" w:rsidR="0004661C" w:rsidRPr="002246D0" w:rsidRDefault="0004661C" w:rsidP="00396D72">
      <w:pPr>
        <w:ind w:right="426"/>
        <w:rPr>
          <w:rFonts w:asciiTheme="minorHAnsi" w:hAnsiTheme="minorHAnsi" w:cstheme="minorHAnsi"/>
        </w:rPr>
      </w:pPr>
    </w:p>
    <w:p w14:paraId="35B5E738" w14:textId="77777777" w:rsidR="0004661C" w:rsidRPr="002246D0" w:rsidRDefault="0004661C" w:rsidP="00755273">
      <w:pPr>
        <w:pStyle w:val="PargrafodaLista"/>
        <w:tabs>
          <w:tab w:val="left" w:pos="0"/>
          <w:tab w:val="left" w:pos="567"/>
        </w:tabs>
        <w:spacing w:line="320" w:lineRule="exact"/>
        <w:ind w:left="0" w:right="426"/>
        <w:jc w:val="center"/>
        <w:rPr>
          <w:rFonts w:cstheme="minorHAnsi"/>
          <w:b/>
          <w:bCs/>
          <w:smallCaps/>
          <w:sz w:val="22"/>
          <w:szCs w:val="22"/>
          <w:lang w:val="pt-BR"/>
        </w:rPr>
      </w:pPr>
      <w:r w:rsidRPr="002246D0">
        <w:rPr>
          <w:rFonts w:cstheme="minorHAnsi"/>
          <w:b/>
          <w:bCs/>
          <w:smallCaps/>
          <w:sz w:val="22"/>
          <w:szCs w:val="22"/>
          <w:u w:val="single"/>
          <w:lang w:val="pt-BR"/>
        </w:rPr>
        <w:t>Conclusão e pedidos</w:t>
      </w:r>
    </w:p>
    <w:p w14:paraId="1E742A02" w14:textId="77777777" w:rsidR="0004661C" w:rsidRDefault="0004661C" w:rsidP="00396D72">
      <w:pPr>
        <w:tabs>
          <w:tab w:val="left" w:pos="0"/>
          <w:tab w:val="left" w:pos="567"/>
        </w:tabs>
        <w:spacing w:line="320" w:lineRule="exact"/>
        <w:ind w:right="426"/>
        <w:jc w:val="center"/>
        <w:rPr>
          <w:rFonts w:asciiTheme="minorHAnsi" w:hAnsiTheme="minorHAnsi" w:cstheme="minorHAnsi"/>
          <w:b/>
          <w:bCs/>
          <w:smallCaps/>
        </w:rPr>
      </w:pPr>
    </w:p>
    <w:p w14:paraId="2256C04B" w14:textId="77777777" w:rsidR="00AF534A" w:rsidRPr="002246D0" w:rsidRDefault="00AF534A" w:rsidP="00396D72">
      <w:pPr>
        <w:tabs>
          <w:tab w:val="left" w:pos="0"/>
          <w:tab w:val="left" w:pos="567"/>
        </w:tabs>
        <w:spacing w:line="320" w:lineRule="exact"/>
        <w:ind w:right="426"/>
        <w:jc w:val="center"/>
        <w:rPr>
          <w:rFonts w:asciiTheme="minorHAnsi" w:hAnsiTheme="minorHAnsi" w:cstheme="minorHAnsi"/>
          <w:b/>
          <w:bCs/>
          <w:smallCaps/>
        </w:rPr>
      </w:pPr>
      <w:bookmarkStart w:id="1" w:name="_GoBack"/>
      <w:bookmarkEnd w:id="1"/>
    </w:p>
    <w:p w14:paraId="03F05BD9" w14:textId="111FB64B" w:rsidR="003E11A0" w:rsidRDefault="003E11A0" w:rsidP="00396D72">
      <w:pPr>
        <w:tabs>
          <w:tab w:val="left" w:pos="709"/>
        </w:tabs>
        <w:spacing w:line="320" w:lineRule="exact"/>
        <w:ind w:right="426"/>
        <w:jc w:val="both"/>
        <w:rPr>
          <w:rFonts w:asciiTheme="minorHAnsi" w:hAnsiTheme="minorHAnsi" w:cstheme="minorHAnsi"/>
        </w:rPr>
      </w:pPr>
      <w:r w:rsidRPr="002246D0">
        <w:rPr>
          <w:rFonts w:asciiTheme="minorHAnsi" w:hAnsiTheme="minorHAnsi" w:cstheme="minorHAnsi"/>
        </w:rPr>
        <w:tab/>
      </w:r>
      <w:r w:rsidR="009313CE" w:rsidRPr="002246D0">
        <w:rPr>
          <w:rFonts w:asciiTheme="minorHAnsi" w:hAnsiTheme="minorHAnsi" w:cstheme="minorHAnsi"/>
        </w:rPr>
        <w:tab/>
      </w:r>
      <w:r w:rsidR="00334A67">
        <w:rPr>
          <w:rFonts w:asciiTheme="minorHAnsi" w:hAnsiTheme="minorHAnsi" w:cstheme="minorHAnsi"/>
        </w:rPr>
        <w:t xml:space="preserve">Diante de todo o exposto, requer o recebimento das presentes contrarrazões ao recurso, para fins de ser negado seguimento do pedido de uniformização de jurisprudência, por notória inadmissibilidade. </w:t>
      </w:r>
    </w:p>
    <w:p w14:paraId="591657C6" w14:textId="77777777" w:rsidR="00AF534A" w:rsidRPr="002246D0" w:rsidRDefault="00AF534A" w:rsidP="00396D72">
      <w:pPr>
        <w:tabs>
          <w:tab w:val="left" w:pos="709"/>
        </w:tabs>
        <w:spacing w:line="320" w:lineRule="exact"/>
        <w:ind w:right="426"/>
        <w:jc w:val="both"/>
        <w:rPr>
          <w:rFonts w:asciiTheme="minorHAnsi" w:hAnsiTheme="minorHAnsi" w:cstheme="minorHAnsi"/>
        </w:rPr>
      </w:pPr>
    </w:p>
    <w:p w14:paraId="1D67A2C1" w14:textId="5D9F156D" w:rsidR="009313CE" w:rsidRDefault="00755273" w:rsidP="009313CE">
      <w:pPr>
        <w:pStyle w:val="PargrafodaLista"/>
        <w:tabs>
          <w:tab w:val="left" w:pos="709"/>
        </w:tabs>
        <w:spacing w:line="320" w:lineRule="exact"/>
        <w:ind w:left="0" w:right="426"/>
        <w:jc w:val="both"/>
        <w:rPr>
          <w:rFonts w:cstheme="minorHAnsi"/>
          <w:sz w:val="22"/>
          <w:szCs w:val="22"/>
          <w:lang w:val="pt-BR"/>
        </w:rPr>
      </w:pPr>
      <w:r w:rsidRPr="002246D0">
        <w:rPr>
          <w:rFonts w:cstheme="minorHAnsi"/>
          <w:sz w:val="22"/>
          <w:szCs w:val="22"/>
          <w:lang w:val="pt-BR"/>
        </w:rPr>
        <w:tab/>
      </w:r>
      <w:r w:rsidR="009313CE" w:rsidRPr="002246D0">
        <w:rPr>
          <w:rFonts w:cstheme="minorHAnsi"/>
          <w:sz w:val="22"/>
          <w:szCs w:val="22"/>
          <w:lang w:val="pt-BR"/>
        </w:rPr>
        <w:t>Pugna a parte recorrida pela</w:t>
      </w:r>
      <w:r w:rsidR="00CE3BEF" w:rsidRPr="002246D0">
        <w:rPr>
          <w:rFonts w:cstheme="minorHAnsi"/>
          <w:sz w:val="22"/>
          <w:szCs w:val="22"/>
          <w:lang w:val="pt-BR"/>
        </w:rPr>
        <w:t xml:space="preserve"> majoração da</w:t>
      </w:r>
      <w:r w:rsidR="009313CE" w:rsidRPr="002246D0">
        <w:rPr>
          <w:rFonts w:cstheme="minorHAnsi"/>
          <w:sz w:val="22"/>
          <w:szCs w:val="22"/>
          <w:lang w:val="pt-BR"/>
        </w:rPr>
        <w:t xml:space="preserve"> condenação da parte recorrente em custas e honorários do advogado.</w:t>
      </w:r>
    </w:p>
    <w:p w14:paraId="49321B86" w14:textId="77777777" w:rsidR="00AF534A" w:rsidRPr="002246D0" w:rsidRDefault="00AF534A" w:rsidP="009313CE">
      <w:pPr>
        <w:pStyle w:val="PargrafodaLista"/>
        <w:tabs>
          <w:tab w:val="left" w:pos="709"/>
        </w:tabs>
        <w:spacing w:line="320" w:lineRule="exact"/>
        <w:ind w:left="0" w:right="426"/>
        <w:jc w:val="both"/>
        <w:rPr>
          <w:rFonts w:cstheme="minorHAnsi"/>
          <w:sz w:val="22"/>
          <w:szCs w:val="22"/>
          <w:lang w:val="pt-BR"/>
        </w:rPr>
      </w:pPr>
    </w:p>
    <w:p w14:paraId="2C2FCA57" w14:textId="77777777" w:rsidR="003E11A0" w:rsidRPr="002246D0" w:rsidRDefault="003E11A0" w:rsidP="00396D72">
      <w:pPr>
        <w:pStyle w:val="PargrafodaLista"/>
        <w:ind w:right="426"/>
        <w:rPr>
          <w:rFonts w:cstheme="minorHAnsi"/>
          <w:sz w:val="22"/>
          <w:szCs w:val="22"/>
        </w:rPr>
      </w:pPr>
    </w:p>
    <w:p w14:paraId="3360DB25" w14:textId="3819EB60" w:rsidR="00551589" w:rsidRPr="002246D0" w:rsidRDefault="003E11A0" w:rsidP="00551589">
      <w:pPr>
        <w:spacing w:before="200" w:after="200" w:line="240" w:lineRule="auto"/>
        <w:jc w:val="both"/>
        <w:rPr>
          <w:rFonts w:asciiTheme="minorHAnsi" w:hAnsiTheme="minorHAnsi" w:cstheme="minorHAnsi"/>
          <w:b/>
          <w:bCs/>
          <w:noProof/>
          <w:u w:val="single"/>
        </w:rPr>
      </w:pPr>
      <w:r w:rsidRPr="002246D0">
        <w:rPr>
          <w:rFonts w:asciiTheme="minorHAnsi" w:hAnsiTheme="minorHAnsi" w:cstheme="minorHAnsi"/>
        </w:rPr>
        <w:tab/>
      </w:r>
      <w:r w:rsidR="00551589" w:rsidRPr="002246D0">
        <w:rPr>
          <w:rFonts w:asciiTheme="minorHAnsi" w:hAnsiTheme="minorHAnsi" w:cstheme="minorHAnsi"/>
          <w:noProof/>
        </w:rPr>
        <w:t xml:space="preserve">Requer a recorrida que todas as intimações sejam encaminhadas ao escritório de seus patronos, sito na Rua do Passeio, 38, Torre 2, 15 andar, Sala 1509/1512 – Centro - CEP:20021-290 – RJ – Rio de Janeiro e que as publicações sejam realizadas, exclusivamente, em nome do patrono </w:t>
      </w:r>
      <w:r w:rsidR="00551589" w:rsidRPr="002246D0">
        <w:rPr>
          <w:rFonts w:asciiTheme="minorHAnsi" w:hAnsiTheme="minorHAnsi" w:cstheme="minorHAnsi"/>
          <w:b/>
          <w:bCs/>
          <w:noProof/>
          <w:u w:val="single"/>
        </w:rPr>
        <w:t>Dr. JOÃO ALVES BARBOSA FILHO, inscrito sob o nº OAB/RS 90657-A, sob pena de nulidade das mesmas.</w:t>
      </w:r>
    </w:p>
    <w:p w14:paraId="602C7411" w14:textId="25C3E9CB" w:rsidR="004C7639" w:rsidRPr="002246D0" w:rsidRDefault="004C7639" w:rsidP="00396D72">
      <w:pPr>
        <w:pStyle w:val="PargrafodaLista"/>
        <w:tabs>
          <w:tab w:val="left" w:pos="709"/>
        </w:tabs>
        <w:spacing w:line="320" w:lineRule="exact"/>
        <w:ind w:left="0" w:right="426"/>
        <w:jc w:val="both"/>
        <w:rPr>
          <w:rFonts w:cstheme="minorHAnsi"/>
          <w:sz w:val="22"/>
          <w:szCs w:val="22"/>
        </w:rPr>
      </w:pPr>
    </w:p>
    <w:p w14:paraId="76681355" w14:textId="3D6EEDE2" w:rsidR="004C7639" w:rsidRPr="002246D0" w:rsidRDefault="004C7639" w:rsidP="00396D72">
      <w:pPr>
        <w:spacing w:before="200" w:after="200" w:line="240" w:lineRule="auto"/>
        <w:ind w:right="426"/>
        <w:jc w:val="center"/>
        <w:rPr>
          <w:rFonts w:asciiTheme="minorHAnsi" w:eastAsiaTheme="minorEastAsia" w:hAnsiTheme="minorHAnsi" w:cstheme="minorHAnsi"/>
          <w:lang w:eastAsia="ja-JP"/>
        </w:rPr>
      </w:pPr>
      <w:r w:rsidRPr="002246D0">
        <w:rPr>
          <w:rFonts w:asciiTheme="minorHAnsi" w:eastAsiaTheme="minorEastAsia" w:hAnsiTheme="minorHAnsi" w:cstheme="minorHAnsi"/>
          <w:lang w:eastAsia="ja-JP"/>
        </w:rPr>
        <w:t>Nestes Termos,</w:t>
      </w:r>
      <w:r w:rsidRPr="002246D0">
        <w:rPr>
          <w:rFonts w:asciiTheme="minorHAnsi" w:eastAsiaTheme="minorEastAsia" w:hAnsiTheme="minorHAnsi" w:cstheme="minorHAnsi"/>
          <w:lang w:eastAsia="ja-JP"/>
        </w:rPr>
        <w:br/>
        <w:t> Pede Deferimento,</w:t>
      </w:r>
    </w:p>
    <w:p w14:paraId="11BA9C11" w14:textId="75159C33" w:rsidR="004C7639" w:rsidRPr="002246D0" w:rsidRDefault="004C7639" w:rsidP="00396D72">
      <w:pPr>
        <w:spacing w:before="200" w:after="200" w:line="240" w:lineRule="auto"/>
        <w:ind w:right="426"/>
        <w:jc w:val="center"/>
        <w:rPr>
          <w:rFonts w:asciiTheme="minorHAnsi" w:eastAsiaTheme="minorEastAsia" w:hAnsiTheme="minorHAnsi" w:cstheme="minorHAnsi"/>
          <w:lang w:eastAsia="ja-JP"/>
        </w:rPr>
      </w:pPr>
      <w:r w:rsidRPr="002246D0">
        <w:rPr>
          <w:rFonts w:asciiTheme="minorHAnsi" w:eastAsiaTheme="minorEastAsia" w:hAnsiTheme="minorHAnsi" w:cstheme="minorHAnsi"/>
          <w:lang w:eastAsia="ja-JP"/>
        </w:rPr>
        <w:br/>
      </w:r>
      <w:r w:rsidR="00334A67">
        <w:rPr>
          <w:rFonts w:asciiTheme="minorHAnsi" w:eastAsiaTheme="minorEastAsia" w:hAnsiTheme="minorHAnsi" w:cstheme="minorHAnsi"/>
          <w:lang w:eastAsia="ja-JP"/>
        </w:rPr>
        <w:t>LAJEADO</w:t>
      </w:r>
      <w:r w:rsidRPr="002246D0">
        <w:rPr>
          <w:rFonts w:asciiTheme="minorHAnsi" w:eastAsiaTheme="minorEastAsia" w:hAnsiTheme="minorHAnsi" w:cstheme="minorHAnsi"/>
          <w:lang w:eastAsia="ja-JP"/>
        </w:rPr>
        <w:t xml:space="preserve">, </w:t>
      </w:r>
      <w:r w:rsidR="00551589" w:rsidRPr="002246D0">
        <w:rPr>
          <w:rFonts w:asciiTheme="minorHAnsi" w:eastAsiaTheme="minorEastAsia" w:hAnsiTheme="minorHAnsi" w:cstheme="minorHAnsi"/>
          <w:lang w:eastAsia="ja-JP"/>
        </w:rPr>
        <w:t>0</w:t>
      </w:r>
      <w:r w:rsidR="003C3A10">
        <w:rPr>
          <w:rFonts w:asciiTheme="minorHAnsi" w:eastAsiaTheme="minorEastAsia" w:hAnsiTheme="minorHAnsi" w:cstheme="minorHAnsi"/>
          <w:lang w:eastAsia="ja-JP"/>
        </w:rPr>
        <w:t>4</w:t>
      </w:r>
      <w:r w:rsidRPr="002246D0">
        <w:rPr>
          <w:rFonts w:asciiTheme="minorHAnsi" w:eastAsiaTheme="minorEastAsia" w:hAnsiTheme="minorHAnsi" w:cstheme="minorHAnsi"/>
          <w:lang w:eastAsia="ja-JP"/>
        </w:rPr>
        <w:t xml:space="preserve"> de </w:t>
      </w:r>
      <w:proofErr w:type="gramStart"/>
      <w:r w:rsidR="00AF534A">
        <w:rPr>
          <w:rFonts w:asciiTheme="minorHAnsi" w:eastAsiaTheme="minorEastAsia" w:hAnsiTheme="minorHAnsi" w:cstheme="minorHAnsi"/>
          <w:lang w:eastAsia="ja-JP"/>
        </w:rPr>
        <w:t>Març</w:t>
      </w:r>
      <w:r w:rsidR="003C3A10">
        <w:rPr>
          <w:rFonts w:asciiTheme="minorHAnsi" w:eastAsiaTheme="minorEastAsia" w:hAnsiTheme="minorHAnsi" w:cstheme="minorHAnsi"/>
          <w:lang w:eastAsia="ja-JP"/>
        </w:rPr>
        <w:t>o</w:t>
      </w:r>
      <w:proofErr w:type="gramEnd"/>
      <w:r w:rsidRPr="002246D0">
        <w:rPr>
          <w:rFonts w:asciiTheme="minorHAnsi" w:eastAsiaTheme="minorEastAsia" w:hAnsiTheme="minorHAnsi" w:cstheme="minorHAnsi"/>
          <w:lang w:eastAsia="ja-JP"/>
        </w:rPr>
        <w:t xml:space="preserve"> de 202</w:t>
      </w:r>
      <w:r w:rsidR="00AF534A">
        <w:rPr>
          <w:rFonts w:asciiTheme="minorHAnsi" w:eastAsiaTheme="minorEastAsia" w:hAnsiTheme="minorHAnsi" w:cstheme="minorHAnsi"/>
          <w:lang w:eastAsia="ja-JP"/>
        </w:rPr>
        <w:t>4</w:t>
      </w:r>
      <w:r w:rsidRPr="002246D0">
        <w:rPr>
          <w:rFonts w:asciiTheme="minorHAnsi" w:eastAsiaTheme="minorEastAsia" w:hAnsiTheme="minorHAnsi" w:cstheme="minorHAnsi"/>
          <w:lang w:eastAsia="ja-JP"/>
        </w:rPr>
        <w:t>.</w:t>
      </w:r>
    </w:p>
    <w:p w14:paraId="2AE38B69" w14:textId="0E1E0CEE" w:rsidR="004C7639" w:rsidRPr="002246D0" w:rsidRDefault="004C7639" w:rsidP="00551589">
      <w:pPr>
        <w:spacing w:before="200" w:after="200" w:line="240" w:lineRule="auto"/>
        <w:ind w:right="426"/>
        <w:jc w:val="center"/>
        <w:rPr>
          <w:rFonts w:asciiTheme="minorHAnsi" w:hAnsiTheme="minorHAnsi" w:cstheme="minorHAnsi"/>
        </w:rPr>
      </w:pPr>
      <w:r w:rsidRPr="002246D0">
        <w:rPr>
          <w:rFonts w:asciiTheme="minorHAnsi" w:eastAsiaTheme="minorEastAsia" w:hAnsiTheme="minorHAnsi" w:cstheme="minorHAnsi"/>
          <w:lang w:eastAsia="ja-JP"/>
        </w:rPr>
        <w:br/>
      </w:r>
      <w:r w:rsidR="00551589" w:rsidRPr="002246D0">
        <w:rPr>
          <w:rFonts w:asciiTheme="minorHAnsi" w:hAnsiTheme="minorHAnsi" w:cstheme="minorHAnsi"/>
          <w:b/>
          <w:bCs/>
        </w:rPr>
        <w:t>JOÃO BARBOSA</w:t>
      </w:r>
      <w:r w:rsidR="00551589" w:rsidRPr="002246D0">
        <w:rPr>
          <w:rFonts w:asciiTheme="minorHAnsi" w:hAnsiTheme="minorHAnsi" w:cstheme="minorHAnsi"/>
          <w:b/>
          <w:bCs/>
        </w:rPr>
        <w:br/>
        <w:t>OAB/RS 90657-A</w:t>
      </w:r>
    </w:p>
    <w:p w14:paraId="7A17B87E" w14:textId="77777777" w:rsidR="004C7639" w:rsidRPr="002246D0" w:rsidRDefault="004C7639" w:rsidP="004C7639">
      <w:pPr>
        <w:spacing w:before="200" w:after="200" w:line="240" w:lineRule="auto"/>
        <w:jc w:val="both"/>
        <w:rPr>
          <w:rFonts w:asciiTheme="minorHAnsi" w:hAnsiTheme="minorHAnsi" w:cstheme="minorHAnsi"/>
        </w:rPr>
      </w:pPr>
    </w:p>
    <w:p w14:paraId="60DCF190" w14:textId="0C354106" w:rsidR="00FA2C18" w:rsidRPr="002246D0" w:rsidRDefault="005941C5" w:rsidP="00E962C2">
      <w:pPr>
        <w:spacing w:before="200" w:after="200" w:line="240" w:lineRule="auto"/>
        <w:jc w:val="both"/>
        <w:rPr>
          <w:rFonts w:asciiTheme="minorHAnsi" w:hAnsiTheme="minorHAnsi" w:cstheme="minorHAnsi"/>
        </w:rPr>
      </w:pPr>
      <w:r w:rsidRPr="002246D0">
        <w:rPr>
          <w:rFonts w:asciiTheme="minorHAnsi" w:hAnsiTheme="minorHAnsi" w:cstheme="minorHAnsi"/>
        </w:rPr>
        <w:t> </w:t>
      </w:r>
    </w:p>
    <w:sectPr w:rsidR="00FA2C18" w:rsidRPr="002246D0" w:rsidSect="0076787A">
      <w:footerReference w:type="default" r:id="rId9"/>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CD5D1" w14:textId="77777777" w:rsidR="009142F8" w:rsidRDefault="009142F8">
      <w:pPr>
        <w:spacing w:after="0" w:line="240" w:lineRule="auto"/>
      </w:pPr>
      <w:r>
        <w:separator/>
      </w:r>
    </w:p>
  </w:endnote>
  <w:endnote w:type="continuationSeparator" w:id="0">
    <w:p w14:paraId="23F2EBAF" w14:textId="77777777" w:rsidR="009142F8" w:rsidRDefault="0091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3502" w14:textId="77777777" w:rsidR="00FA2C18" w:rsidRDefault="005941C5" w:rsidP="00FE5317">
    <w:pPr>
      <w:pStyle w:val="Rodap"/>
      <w:jc w:val="center"/>
      <w:rPr>
        <w:sz w:val="18"/>
      </w:rPr>
    </w:pPr>
    <w:r w:rsidRPr="00FA2C18">
      <w:rPr>
        <w:sz w:val="18"/>
      </w:rPr>
      <w:t>Rua do Passeio, 38, Torre 2, 15º andar - Sala 1509/1512 – Centro - RJ – Rio de Janeiro - CEP:20021-290</w:t>
    </w:r>
  </w:p>
  <w:p w14:paraId="2F8B6DF0" w14:textId="77777777" w:rsidR="00FE5317" w:rsidRPr="00FE5317" w:rsidRDefault="005941C5" w:rsidP="00FE5317">
    <w:pPr>
      <w:pStyle w:val="Rodap"/>
      <w:jc w:val="center"/>
      <w:rPr>
        <w:sz w:val="18"/>
      </w:rPr>
    </w:pPr>
    <w:r w:rsidRPr="00FE5317">
      <w:rPr>
        <w:sz w:val="18"/>
      </w:rPr>
      <w:t>www.joaobarbosaadvass.com.br</w:t>
    </w:r>
  </w:p>
  <w:p w14:paraId="13054C5C" w14:textId="77777777" w:rsidR="00FE5317" w:rsidRDefault="00FE53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5114" w14:textId="77777777" w:rsidR="009142F8" w:rsidRDefault="009142F8">
      <w:pPr>
        <w:spacing w:after="0" w:line="240" w:lineRule="auto"/>
      </w:pPr>
      <w:r>
        <w:separator/>
      </w:r>
    </w:p>
  </w:footnote>
  <w:footnote w:type="continuationSeparator" w:id="0">
    <w:p w14:paraId="00B134B9" w14:textId="77777777" w:rsidR="009142F8" w:rsidRDefault="00914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03EB8"/>
    <w:multiLevelType w:val="hybridMultilevel"/>
    <w:tmpl w:val="4ACCDDF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7034FC"/>
    <w:multiLevelType w:val="hybridMultilevel"/>
    <w:tmpl w:val="13B6A5B4"/>
    <w:lvl w:ilvl="0" w:tplc="D70ED4AA">
      <w:start w:val="1"/>
      <w:numFmt w:val="upperRoman"/>
      <w:lvlText w:val="%1."/>
      <w:lvlJc w:val="left"/>
      <w:pPr>
        <w:ind w:left="298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CFF5FAF"/>
    <w:multiLevelType w:val="hybridMultilevel"/>
    <w:tmpl w:val="34EEE2BC"/>
    <w:lvl w:ilvl="0" w:tplc="0416000F">
      <w:start w:val="1"/>
      <w:numFmt w:val="decimal"/>
      <w:lvlText w:val="%1."/>
      <w:lvlJc w:val="left"/>
      <w:pPr>
        <w:tabs>
          <w:tab w:val="num" w:pos="2520"/>
        </w:tabs>
        <w:ind w:left="2520" w:hanging="360"/>
      </w:pPr>
    </w:lvl>
    <w:lvl w:ilvl="1" w:tplc="04160019">
      <w:start w:val="1"/>
      <w:numFmt w:val="decimal"/>
      <w:lvlText w:val="%2."/>
      <w:lvlJc w:val="left"/>
      <w:pPr>
        <w:tabs>
          <w:tab w:val="num" w:pos="3600"/>
        </w:tabs>
        <w:ind w:left="3600" w:hanging="360"/>
      </w:pPr>
    </w:lvl>
    <w:lvl w:ilvl="2" w:tplc="0416001B">
      <w:start w:val="1"/>
      <w:numFmt w:val="decimal"/>
      <w:lvlText w:val="%3."/>
      <w:lvlJc w:val="left"/>
      <w:pPr>
        <w:tabs>
          <w:tab w:val="num" w:pos="4320"/>
        </w:tabs>
        <w:ind w:left="4320" w:hanging="360"/>
      </w:pPr>
    </w:lvl>
    <w:lvl w:ilvl="3" w:tplc="0416000F">
      <w:start w:val="1"/>
      <w:numFmt w:val="decimal"/>
      <w:lvlText w:val="%4."/>
      <w:lvlJc w:val="left"/>
      <w:pPr>
        <w:tabs>
          <w:tab w:val="num" w:pos="5040"/>
        </w:tabs>
        <w:ind w:left="5040" w:hanging="360"/>
      </w:pPr>
    </w:lvl>
    <w:lvl w:ilvl="4" w:tplc="04160019">
      <w:start w:val="1"/>
      <w:numFmt w:val="decimal"/>
      <w:lvlText w:val="%5."/>
      <w:lvlJc w:val="left"/>
      <w:pPr>
        <w:tabs>
          <w:tab w:val="num" w:pos="5760"/>
        </w:tabs>
        <w:ind w:left="5760" w:hanging="360"/>
      </w:pPr>
    </w:lvl>
    <w:lvl w:ilvl="5" w:tplc="0416001B">
      <w:start w:val="1"/>
      <w:numFmt w:val="decimal"/>
      <w:lvlText w:val="%6."/>
      <w:lvlJc w:val="left"/>
      <w:pPr>
        <w:tabs>
          <w:tab w:val="num" w:pos="6480"/>
        </w:tabs>
        <w:ind w:left="6480" w:hanging="360"/>
      </w:pPr>
    </w:lvl>
    <w:lvl w:ilvl="6" w:tplc="0416000F">
      <w:start w:val="1"/>
      <w:numFmt w:val="decimal"/>
      <w:lvlText w:val="%7."/>
      <w:lvlJc w:val="left"/>
      <w:pPr>
        <w:tabs>
          <w:tab w:val="num" w:pos="7200"/>
        </w:tabs>
        <w:ind w:left="7200" w:hanging="360"/>
      </w:pPr>
    </w:lvl>
    <w:lvl w:ilvl="7" w:tplc="04160019">
      <w:start w:val="1"/>
      <w:numFmt w:val="decimal"/>
      <w:lvlText w:val="%8."/>
      <w:lvlJc w:val="left"/>
      <w:pPr>
        <w:tabs>
          <w:tab w:val="num" w:pos="7920"/>
        </w:tabs>
        <w:ind w:left="7920" w:hanging="360"/>
      </w:pPr>
    </w:lvl>
    <w:lvl w:ilvl="8" w:tplc="0416001B">
      <w:start w:val="1"/>
      <w:numFmt w:val="decimal"/>
      <w:lvlText w:val="%9."/>
      <w:lvlJc w:val="left"/>
      <w:pPr>
        <w:tabs>
          <w:tab w:val="num" w:pos="8640"/>
        </w:tabs>
        <w:ind w:left="864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7"/>
    <w:rsid w:val="0004661C"/>
    <w:rsid w:val="000C60A8"/>
    <w:rsid w:val="001F73C4"/>
    <w:rsid w:val="00220179"/>
    <w:rsid w:val="002246D0"/>
    <w:rsid w:val="00255B3C"/>
    <w:rsid w:val="00320DCE"/>
    <w:rsid w:val="00326B23"/>
    <w:rsid w:val="003349B7"/>
    <w:rsid w:val="00334A67"/>
    <w:rsid w:val="0037684E"/>
    <w:rsid w:val="00387F34"/>
    <w:rsid w:val="00396D72"/>
    <w:rsid w:val="003C3A10"/>
    <w:rsid w:val="003E11A0"/>
    <w:rsid w:val="003F5DCE"/>
    <w:rsid w:val="00404C94"/>
    <w:rsid w:val="00486EBB"/>
    <w:rsid w:val="004C1027"/>
    <w:rsid w:val="004C7639"/>
    <w:rsid w:val="0052134B"/>
    <w:rsid w:val="00530F86"/>
    <w:rsid w:val="00551589"/>
    <w:rsid w:val="005663F9"/>
    <w:rsid w:val="005869BC"/>
    <w:rsid w:val="005941C5"/>
    <w:rsid w:val="005A5474"/>
    <w:rsid w:val="005D4224"/>
    <w:rsid w:val="005E226B"/>
    <w:rsid w:val="00654BB2"/>
    <w:rsid w:val="00673F32"/>
    <w:rsid w:val="006B5371"/>
    <w:rsid w:val="006B7FB3"/>
    <w:rsid w:val="006F66E3"/>
    <w:rsid w:val="006F7A6B"/>
    <w:rsid w:val="00701612"/>
    <w:rsid w:val="00755273"/>
    <w:rsid w:val="0076787A"/>
    <w:rsid w:val="007A7F4C"/>
    <w:rsid w:val="007E1F86"/>
    <w:rsid w:val="00861286"/>
    <w:rsid w:val="00873596"/>
    <w:rsid w:val="00874FFE"/>
    <w:rsid w:val="008765E4"/>
    <w:rsid w:val="008B00C4"/>
    <w:rsid w:val="008E1AB2"/>
    <w:rsid w:val="008F4CF5"/>
    <w:rsid w:val="009142F8"/>
    <w:rsid w:val="009313CE"/>
    <w:rsid w:val="00956E0D"/>
    <w:rsid w:val="00965291"/>
    <w:rsid w:val="009D3C6C"/>
    <w:rsid w:val="009E3B76"/>
    <w:rsid w:val="00AF534A"/>
    <w:rsid w:val="00C81778"/>
    <w:rsid w:val="00CC074C"/>
    <w:rsid w:val="00CE3BEF"/>
    <w:rsid w:val="00DA4388"/>
    <w:rsid w:val="00E015EA"/>
    <w:rsid w:val="00E67247"/>
    <w:rsid w:val="00E962C2"/>
    <w:rsid w:val="00EB6B0C"/>
    <w:rsid w:val="00EC3A99"/>
    <w:rsid w:val="00F26943"/>
    <w:rsid w:val="00FA2C18"/>
    <w:rsid w:val="00FC779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94B"/>
  <w15:docId w15:val="{A173964C-702F-4378-9A92-F2209F7B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Corpodetexto"/>
    <w:link w:val="Ttulo2Char"/>
    <w:uiPriority w:val="9"/>
    <w:unhideWhenUsed/>
    <w:qFormat/>
    <w:rsid w:val="004C7639"/>
    <w:pPr>
      <w:keepNext/>
      <w:widowControl w:val="0"/>
      <w:suppressAutoHyphens/>
      <w:spacing w:before="397" w:after="397" w:line="360" w:lineRule="auto"/>
      <w:jc w:val="both"/>
      <w:outlineLvl w:val="1"/>
    </w:pPr>
    <w:rPr>
      <w:rFonts w:ascii="Times New Roman" w:eastAsia="Times New Roman" w:hAnsi="Times New Roman"/>
      <w:b/>
      <w:bCs/>
      <w:sz w:val="24"/>
      <w:szCs w:val="24"/>
      <w:lang w:eastAsia="zh-C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paragraph" w:styleId="NormalWeb">
    <w:name w:val="Normal (Web)"/>
    <w:basedOn w:val="Normal"/>
    <w:uiPriority w:val="99"/>
    <w:unhideWhenUsed/>
    <w:rsid w:val="005941C5"/>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8B0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4C7639"/>
    <w:rPr>
      <w:rFonts w:ascii="Times New Roman" w:eastAsia="Times New Roman" w:hAnsi="Times New Roman"/>
      <w:b/>
      <w:bCs/>
      <w:sz w:val="24"/>
      <w:szCs w:val="24"/>
      <w:lang w:eastAsia="zh-CN" w:bidi="hi-IN"/>
    </w:rPr>
  </w:style>
  <w:style w:type="paragraph" w:styleId="Corpodetexto">
    <w:name w:val="Body Text"/>
    <w:basedOn w:val="Normal"/>
    <w:link w:val="CorpodetextoChar"/>
    <w:rsid w:val="004C7639"/>
    <w:pPr>
      <w:widowControl w:val="0"/>
      <w:suppressAutoHyphens/>
      <w:spacing w:before="397" w:after="397" w:line="360" w:lineRule="auto"/>
      <w:jc w:val="both"/>
    </w:pPr>
    <w:rPr>
      <w:rFonts w:ascii="Times New Roman" w:eastAsia="Times New Roman" w:hAnsi="Times New Roman"/>
      <w:sz w:val="24"/>
      <w:szCs w:val="24"/>
      <w:lang w:eastAsia="zh-CN" w:bidi="hi-IN"/>
    </w:rPr>
  </w:style>
  <w:style w:type="character" w:customStyle="1" w:styleId="CorpodetextoChar">
    <w:name w:val="Corpo de texto Char"/>
    <w:basedOn w:val="Fontepargpadro"/>
    <w:link w:val="Corpodetexto"/>
    <w:rsid w:val="004C7639"/>
    <w:rPr>
      <w:rFonts w:ascii="Times New Roman" w:eastAsia="Times New Roman" w:hAnsi="Times New Roman"/>
      <w:sz w:val="24"/>
      <w:szCs w:val="24"/>
      <w:lang w:eastAsia="zh-CN" w:bidi="hi-IN"/>
    </w:rPr>
  </w:style>
  <w:style w:type="paragraph" w:styleId="PargrafodaLista">
    <w:name w:val="List Paragraph"/>
    <w:basedOn w:val="Normal"/>
    <w:link w:val="PargrafodaListaChar"/>
    <w:uiPriority w:val="34"/>
    <w:qFormat/>
    <w:rsid w:val="0004661C"/>
    <w:pPr>
      <w:spacing w:after="0" w:line="240" w:lineRule="auto"/>
      <w:ind w:left="720"/>
      <w:contextualSpacing/>
    </w:pPr>
    <w:rPr>
      <w:rFonts w:asciiTheme="minorHAnsi" w:eastAsiaTheme="minorEastAsia" w:hAnsiTheme="minorHAnsi" w:cstheme="minorBidi"/>
      <w:sz w:val="24"/>
      <w:szCs w:val="24"/>
      <w:lang w:val="en-US" w:eastAsia="ja-JP"/>
    </w:rPr>
  </w:style>
  <w:style w:type="paragraph" w:styleId="Textodenotaderodap">
    <w:name w:val="footnote text"/>
    <w:basedOn w:val="Normal"/>
    <w:link w:val="TextodenotaderodapChar"/>
    <w:uiPriority w:val="99"/>
    <w:unhideWhenUsed/>
    <w:rsid w:val="0004661C"/>
    <w:pPr>
      <w:spacing w:after="0" w:line="240" w:lineRule="auto"/>
    </w:pPr>
    <w:rPr>
      <w:rFonts w:asciiTheme="minorHAnsi" w:eastAsiaTheme="minorEastAsia" w:hAnsiTheme="minorHAnsi" w:cstheme="minorBidi"/>
      <w:sz w:val="20"/>
      <w:szCs w:val="20"/>
      <w:lang w:val="en-US" w:eastAsia="ja-JP"/>
    </w:rPr>
  </w:style>
  <w:style w:type="character" w:customStyle="1" w:styleId="TextodenotaderodapChar">
    <w:name w:val="Texto de nota de rodapé Char"/>
    <w:basedOn w:val="Fontepargpadro"/>
    <w:link w:val="Textodenotaderodap"/>
    <w:uiPriority w:val="99"/>
    <w:rsid w:val="0004661C"/>
    <w:rPr>
      <w:rFonts w:asciiTheme="minorHAnsi" w:eastAsiaTheme="minorEastAsia" w:hAnsiTheme="minorHAnsi" w:cstheme="minorBidi"/>
      <w:lang w:val="en-US" w:eastAsia="ja-JP"/>
    </w:rPr>
  </w:style>
  <w:style w:type="character" w:styleId="Refdenotaderodap">
    <w:name w:val="footnote reference"/>
    <w:aliases w:val="sobrescrito,Referência de rodapé"/>
    <w:basedOn w:val="Fontepargpadro"/>
    <w:unhideWhenUsed/>
    <w:rsid w:val="0004661C"/>
    <w:rPr>
      <w:vertAlign w:val="superscript"/>
    </w:rPr>
  </w:style>
  <w:style w:type="character" w:customStyle="1" w:styleId="PargrafodaListaChar">
    <w:name w:val="Parágrafo da Lista Char"/>
    <w:link w:val="PargrafodaLista"/>
    <w:uiPriority w:val="34"/>
    <w:qFormat/>
    <w:rsid w:val="002246D0"/>
    <w:rPr>
      <w:rFonts w:asciiTheme="minorHAnsi" w:eastAsiaTheme="minorEastAsia" w:hAnsiTheme="minorHAnsi" w:cstheme="minorBidi"/>
      <w:sz w:val="24"/>
      <w:szCs w:val="24"/>
      <w:lang w:val="en-US" w:eastAsia="ja-JP"/>
    </w:rPr>
  </w:style>
  <w:style w:type="character" w:customStyle="1" w:styleId="hgkelc">
    <w:name w:val="hgkelc"/>
    <w:rsid w:val="0022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1675">
      <w:bodyDiv w:val="1"/>
      <w:marLeft w:val="0"/>
      <w:marRight w:val="0"/>
      <w:marTop w:val="0"/>
      <w:marBottom w:val="0"/>
      <w:divBdr>
        <w:top w:val="none" w:sz="0" w:space="0" w:color="auto"/>
        <w:left w:val="none" w:sz="0" w:space="0" w:color="auto"/>
        <w:bottom w:val="none" w:sz="0" w:space="0" w:color="auto"/>
        <w:right w:val="none" w:sz="0" w:space="0" w:color="auto"/>
      </w:divBdr>
    </w:div>
    <w:div w:id="238296644">
      <w:bodyDiv w:val="1"/>
      <w:marLeft w:val="0"/>
      <w:marRight w:val="0"/>
      <w:marTop w:val="0"/>
      <w:marBottom w:val="0"/>
      <w:divBdr>
        <w:top w:val="none" w:sz="0" w:space="0" w:color="auto"/>
        <w:left w:val="none" w:sz="0" w:space="0" w:color="auto"/>
        <w:bottom w:val="none" w:sz="0" w:space="0" w:color="auto"/>
        <w:right w:val="none" w:sz="0" w:space="0" w:color="auto"/>
      </w:divBdr>
    </w:div>
    <w:div w:id="554700837">
      <w:bodyDiv w:val="1"/>
      <w:marLeft w:val="0"/>
      <w:marRight w:val="0"/>
      <w:marTop w:val="0"/>
      <w:marBottom w:val="0"/>
      <w:divBdr>
        <w:top w:val="none" w:sz="0" w:space="0" w:color="auto"/>
        <w:left w:val="none" w:sz="0" w:space="0" w:color="auto"/>
        <w:bottom w:val="none" w:sz="0" w:space="0" w:color="auto"/>
        <w:right w:val="none" w:sz="0" w:space="0" w:color="auto"/>
      </w:divBdr>
    </w:div>
    <w:div w:id="70367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8E9F-2E23-4F58-A6B6-42F5A1E0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4532</Words>
  <Characters>24474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Conta da Microsoft</cp:lastModifiedBy>
  <cp:revision>2</cp:revision>
  <dcterms:created xsi:type="dcterms:W3CDTF">2024-03-11T19:47:00Z</dcterms:created>
  <dcterms:modified xsi:type="dcterms:W3CDTF">2024-03-11T19:47:00Z</dcterms:modified>
</cp:coreProperties>
</file>