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95E83" w14:textId="720C451D" w:rsidR="00DA4388" w:rsidRDefault="00DA4388" w:rsidP="00396D72">
      <w:pPr>
        <w:spacing w:after="200" w:line="240" w:lineRule="auto"/>
        <w:ind w:right="426"/>
        <w:jc w:val="right"/>
        <w:rPr>
          <w:rFonts w:cs="Calibri"/>
          <w:sz w:val="20"/>
          <w:szCs w:val="20"/>
        </w:rPr>
      </w:pP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DA4388" w14:paraId="55EFB4E8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BAE05" w14:textId="77777777" w:rsidR="00DA4388" w:rsidRDefault="005941C5" w:rsidP="00396D72">
            <w:pPr>
              <w:spacing w:after="0" w:line="240" w:lineRule="auto"/>
              <w:ind w:right="426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172C136E" wp14:editId="10F22EF1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BFFDF" w14:textId="77777777" w:rsidR="00DA4388" w:rsidRDefault="005941C5" w:rsidP="00396D72">
      <w:pPr>
        <w:spacing w:after="200" w:line="240" w:lineRule="auto"/>
        <w:ind w:right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993F4D0" w14:textId="77777777" w:rsidR="00DA4388" w:rsidRDefault="005941C5" w:rsidP="00396D72">
      <w:pPr>
        <w:spacing w:before="200" w:after="200" w:line="240" w:lineRule="auto"/>
        <w:ind w:right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C23B17E" w14:textId="77777777" w:rsidR="00DA4388" w:rsidRDefault="005941C5" w:rsidP="00396D72">
      <w:pPr>
        <w:spacing w:before="200" w:after="200" w:line="240" w:lineRule="auto"/>
        <w:ind w:right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05D1820" w14:textId="77777777" w:rsidR="00DA4388" w:rsidRDefault="005941C5" w:rsidP="00396D72">
      <w:pPr>
        <w:spacing w:before="200" w:after="200" w:line="240" w:lineRule="auto"/>
        <w:ind w:right="42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E7345EF" w14:textId="77777777" w:rsidR="00DA4388" w:rsidRPr="003E11A0" w:rsidRDefault="005941C5" w:rsidP="00396D72">
      <w:pPr>
        <w:spacing w:before="200" w:after="200" w:line="240" w:lineRule="auto"/>
        <w:ind w:right="426"/>
        <w:jc w:val="both"/>
        <w:rPr>
          <w:rFonts w:cs="Calibri"/>
        </w:rPr>
      </w:pPr>
      <w:r w:rsidRPr="003E11A0">
        <w:rPr>
          <w:rFonts w:cs="Calibri"/>
        </w:rPr>
        <w:t> </w:t>
      </w:r>
    </w:p>
    <w:p w14:paraId="074ED884" w14:textId="77777777" w:rsidR="00DA4388" w:rsidRPr="003E11A0" w:rsidRDefault="005941C5" w:rsidP="00396D72">
      <w:pPr>
        <w:spacing w:before="200" w:after="200" w:line="240" w:lineRule="auto"/>
        <w:ind w:right="426"/>
        <w:jc w:val="both"/>
        <w:rPr>
          <w:rFonts w:cs="Calibri"/>
        </w:rPr>
      </w:pPr>
      <w:r w:rsidRPr="003E11A0">
        <w:rPr>
          <w:rFonts w:cs="Calibri"/>
        </w:rPr>
        <w:t> </w:t>
      </w:r>
    </w:p>
    <w:p w14:paraId="77468F4A" w14:textId="3D6F805A" w:rsidR="00DA4388" w:rsidRPr="003911A8" w:rsidRDefault="005941C5" w:rsidP="00396D72">
      <w:pPr>
        <w:spacing w:before="200" w:after="200" w:line="240" w:lineRule="auto"/>
        <w:ind w:right="426"/>
        <w:jc w:val="both"/>
        <w:rPr>
          <w:rFonts w:cs="Calibri"/>
          <w:sz w:val="24"/>
          <w:szCs w:val="24"/>
        </w:rPr>
      </w:pPr>
      <w:r w:rsidRPr="003E11A0">
        <w:rPr>
          <w:rFonts w:cs="Calibri"/>
        </w:rPr>
        <w:t> </w:t>
      </w:r>
      <w:r w:rsidR="006B1A14" w:rsidRPr="006B1A14">
        <w:rPr>
          <w:rFonts w:cs="Calibri"/>
          <w:b/>
          <w:bCs/>
          <w:sz w:val="24"/>
          <w:szCs w:val="24"/>
        </w:rPr>
        <w:t>AO EGRÉGRIO TRIBUNAL REGIONAL DA 4ª REGIÃO</w:t>
      </w:r>
      <w:r w:rsidR="006B1A14" w:rsidRPr="006B1A14">
        <w:rPr>
          <w:rFonts w:cs="Calibri"/>
          <w:b/>
          <w:bCs/>
          <w:sz w:val="24"/>
          <w:szCs w:val="24"/>
        </w:rPr>
        <w:cr/>
      </w:r>
    </w:p>
    <w:p w14:paraId="68F3FC25" w14:textId="77777777" w:rsidR="00DA4388" w:rsidRDefault="005941C5" w:rsidP="00396D72">
      <w:pPr>
        <w:spacing w:before="200" w:after="200" w:line="240" w:lineRule="auto"/>
        <w:ind w:right="426"/>
        <w:jc w:val="both"/>
        <w:rPr>
          <w:rFonts w:cs="Calibri"/>
          <w:sz w:val="24"/>
          <w:szCs w:val="24"/>
        </w:rPr>
      </w:pPr>
      <w:r w:rsidRPr="003911A8">
        <w:rPr>
          <w:rFonts w:cs="Calibri"/>
          <w:sz w:val="24"/>
          <w:szCs w:val="24"/>
        </w:rPr>
        <w:t> </w:t>
      </w:r>
    </w:p>
    <w:p w14:paraId="762B2E87" w14:textId="77777777" w:rsidR="00A31689" w:rsidRDefault="00A31689" w:rsidP="00396D72">
      <w:pPr>
        <w:spacing w:before="200" w:after="200" w:line="240" w:lineRule="auto"/>
        <w:ind w:right="426"/>
        <w:jc w:val="both"/>
        <w:rPr>
          <w:rFonts w:cs="Calibri"/>
          <w:sz w:val="24"/>
          <w:szCs w:val="24"/>
        </w:rPr>
      </w:pPr>
    </w:p>
    <w:p w14:paraId="1F98E005" w14:textId="2F834C5A" w:rsidR="00BA2B36" w:rsidRPr="00BA2B36" w:rsidRDefault="00BA2B36" w:rsidP="00396D72">
      <w:pPr>
        <w:spacing w:before="200" w:after="200" w:line="240" w:lineRule="auto"/>
        <w:ind w:right="42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AGRAVO DE INSTRUMENTO Nº</w:t>
      </w:r>
      <w:r w:rsidR="006B1A14" w:rsidRPr="006B1A14">
        <w:rPr>
          <w:rFonts w:cs="Calibri"/>
          <w:b/>
          <w:sz w:val="24"/>
          <w:szCs w:val="24"/>
        </w:rPr>
        <w:t>5041170-09.2023.4.04.0000</w:t>
      </w:r>
    </w:p>
    <w:p w14:paraId="731D17CA" w14:textId="397B5C18" w:rsidR="00DA4388" w:rsidRPr="003911A8" w:rsidRDefault="00BA2B36" w:rsidP="008B1D23">
      <w:pPr>
        <w:spacing w:before="200" w:after="200" w:line="240" w:lineRule="auto"/>
        <w:ind w:right="426"/>
        <w:jc w:val="both"/>
        <w:rPr>
          <w:rFonts w:cs="Calibri"/>
          <w:b/>
          <w:bCs/>
          <w:sz w:val="24"/>
          <w:szCs w:val="24"/>
        </w:rPr>
      </w:pPr>
      <w:r w:rsidRPr="00BA2B36">
        <w:rPr>
          <w:rFonts w:cs="Calibri"/>
          <w:b/>
          <w:bCs/>
          <w:sz w:val="24"/>
          <w:szCs w:val="24"/>
        </w:rPr>
        <w:t xml:space="preserve">PROCESSO DE ORIGEM Nº </w:t>
      </w:r>
      <w:r w:rsidR="006B1A14">
        <w:rPr>
          <w:rFonts w:cs="Calibri"/>
          <w:b/>
          <w:bCs/>
          <w:sz w:val="24"/>
          <w:szCs w:val="24"/>
        </w:rPr>
        <w:t>5000247-57.2023.4.04.7107</w:t>
      </w:r>
      <w:r w:rsidR="003A6BC8" w:rsidRPr="003A6BC8">
        <w:rPr>
          <w:rFonts w:cs="Calibri"/>
          <w:b/>
          <w:bCs/>
          <w:sz w:val="24"/>
          <w:szCs w:val="24"/>
        </w:rPr>
        <w:t>/RS</w:t>
      </w:r>
    </w:p>
    <w:p w14:paraId="70D5ED8D" w14:textId="77777777" w:rsidR="005941C5" w:rsidRDefault="005941C5" w:rsidP="00396D72">
      <w:pPr>
        <w:spacing w:before="200" w:after="200" w:line="240" w:lineRule="auto"/>
        <w:ind w:right="426"/>
        <w:jc w:val="both"/>
        <w:rPr>
          <w:rFonts w:cs="Calibri"/>
          <w:sz w:val="24"/>
          <w:szCs w:val="24"/>
        </w:rPr>
      </w:pPr>
    </w:p>
    <w:p w14:paraId="71A4F1FE" w14:textId="77777777" w:rsidR="00A31689" w:rsidRPr="003911A8" w:rsidRDefault="00A31689" w:rsidP="00396D72">
      <w:pPr>
        <w:spacing w:before="200" w:after="200" w:line="240" w:lineRule="auto"/>
        <w:ind w:right="426"/>
        <w:jc w:val="both"/>
        <w:rPr>
          <w:rFonts w:cs="Calibri"/>
          <w:sz w:val="24"/>
          <w:szCs w:val="24"/>
        </w:rPr>
      </w:pPr>
    </w:p>
    <w:p w14:paraId="70112798" w14:textId="5FB84790" w:rsidR="008F4CF5" w:rsidRPr="003911A8" w:rsidRDefault="005941C5" w:rsidP="00396D72">
      <w:pPr>
        <w:spacing w:line="320" w:lineRule="exact"/>
        <w:ind w:right="426" w:firstLine="1440"/>
        <w:jc w:val="both"/>
        <w:rPr>
          <w:rFonts w:cs="Calibri"/>
          <w:sz w:val="24"/>
          <w:szCs w:val="24"/>
        </w:rPr>
      </w:pPr>
      <w:r w:rsidRPr="003911A8">
        <w:rPr>
          <w:rFonts w:cs="Calibri"/>
          <w:b/>
          <w:bCs/>
          <w:sz w:val="24"/>
          <w:szCs w:val="24"/>
        </w:rPr>
        <w:t>                              CAIXA ECONOMICA FEDERAL</w:t>
      </w:r>
      <w:r w:rsidRPr="003911A8">
        <w:rPr>
          <w:rFonts w:cs="Calibri"/>
          <w:sz w:val="24"/>
          <w:szCs w:val="24"/>
        </w:rPr>
        <w:t xml:space="preserve">, previamente qualificada nos autos do processo em epígrafe, neste ato, representada por seus advogados que </w:t>
      </w:r>
      <w:proofErr w:type="gramStart"/>
      <w:r w:rsidRPr="003911A8">
        <w:rPr>
          <w:rFonts w:cs="Calibri"/>
          <w:sz w:val="24"/>
          <w:szCs w:val="24"/>
        </w:rPr>
        <w:t>esta subscrevem</w:t>
      </w:r>
      <w:proofErr w:type="gramEnd"/>
      <w:r w:rsidRPr="003911A8">
        <w:rPr>
          <w:rFonts w:cs="Calibri"/>
          <w:sz w:val="24"/>
          <w:szCs w:val="24"/>
        </w:rPr>
        <w:t xml:space="preserve">, nos autos da </w:t>
      </w:r>
      <w:r w:rsidRPr="003911A8">
        <w:rPr>
          <w:rFonts w:cs="Calibri"/>
          <w:b/>
          <w:bCs/>
          <w:i/>
          <w:iCs/>
          <w:sz w:val="24"/>
          <w:szCs w:val="24"/>
        </w:rPr>
        <w:t xml:space="preserve">AÇÃO </w:t>
      </w:r>
      <w:r w:rsidR="004C7639" w:rsidRPr="003911A8">
        <w:rPr>
          <w:rFonts w:cs="Calibri"/>
          <w:b/>
          <w:bCs/>
          <w:i/>
          <w:iCs/>
          <w:sz w:val="24"/>
          <w:szCs w:val="24"/>
        </w:rPr>
        <w:t xml:space="preserve">DE </w:t>
      </w:r>
      <w:r w:rsidR="00E41F2B">
        <w:rPr>
          <w:rFonts w:cs="Calibri"/>
          <w:b/>
          <w:bCs/>
          <w:i/>
          <w:iCs/>
          <w:sz w:val="24"/>
          <w:szCs w:val="24"/>
        </w:rPr>
        <w:t>REVISÃO CONTRATUAL</w:t>
      </w:r>
      <w:r w:rsidRPr="003911A8">
        <w:rPr>
          <w:rFonts w:cs="Calibri"/>
          <w:b/>
          <w:bCs/>
          <w:i/>
          <w:iCs/>
          <w:sz w:val="24"/>
          <w:szCs w:val="24"/>
        </w:rPr>
        <w:t xml:space="preserve">, </w:t>
      </w:r>
      <w:r w:rsidRPr="003911A8">
        <w:rPr>
          <w:rFonts w:cs="Calibri"/>
          <w:sz w:val="24"/>
          <w:szCs w:val="24"/>
        </w:rPr>
        <w:t xml:space="preserve">que lhe promove </w:t>
      </w:r>
      <w:r w:rsidR="006B1A14" w:rsidRPr="006B1A14">
        <w:rPr>
          <w:rFonts w:cs="Calibri"/>
          <w:b/>
          <w:bCs/>
          <w:sz w:val="24"/>
          <w:szCs w:val="24"/>
        </w:rPr>
        <w:t>RESIDENCIAL CAMPOS DA SERRA IX</w:t>
      </w:r>
      <w:r w:rsidR="00320DCE" w:rsidRPr="003911A8">
        <w:rPr>
          <w:rFonts w:cs="Calibri"/>
          <w:b/>
          <w:bCs/>
          <w:sz w:val="24"/>
          <w:szCs w:val="24"/>
        </w:rPr>
        <w:t xml:space="preserve">, </w:t>
      </w:r>
      <w:r w:rsidR="00E962C2" w:rsidRPr="003911A8">
        <w:rPr>
          <w:rFonts w:cs="Calibri"/>
          <w:sz w:val="24"/>
          <w:szCs w:val="24"/>
        </w:rPr>
        <w:t xml:space="preserve">vem, por seus advogados abaixo assinados, em atenção ao </w:t>
      </w:r>
      <w:r w:rsidR="00090C70" w:rsidRPr="003911A8">
        <w:rPr>
          <w:rFonts w:cs="Calibri"/>
          <w:sz w:val="24"/>
          <w:szCs w:val="24"/>
        </w:rPr>
        <w:t>recurso interposto pela parte autora</w:t>
      </w:r>
      <w:r w:rsidR="00E962C2" w:rsidRPr="003911A8">
        <w:rPr>
          <w:rFonts w:cs="Calibri"/>
          <w:sz w:val="24"/>
          <w:szCs w:val="24"/>
        </w:rPr>
        <w:t>,</w:t>
      </w:r>
      <w:r w:rsidR="00320DCE" w:rsidRPr="003911A8">
        <w:rPr>
          <w:rFonts w:cs="Calibri"/>
          <w:sz w:val="24"/>
          <w:szCs w:val="24"/>
        </w:rPr>
        <w:t xml:space="preserve"> pelas razões e fundamentos a seguir expostos,</w:t>
      </w:r>
      <w:r w:rsidR="004C7639" w:rsidRPr="003911A8">
        <w:rPr>
          <w:rFonts w:cs="Calibri"/>
          <w:sz w:val="24"/>
          <w:szCs w:val="24"/>
        </w:rPr>
        <w:t xml:space="preserve"> apresentar suas:</w:t>
      </w:r>
    </w:p>
    <w:p w14:paraId="7FFA8188" w14:textId="484840B5" w:rsidR="004C7639" w:rsidRPr="003911A8" w:rsidRDefault="004C7639" w:rsidP="00396D72">
      <w:pPr>
        <w:spacing w:line="320" w:lineRule="exact"/>
        <w:ind w:right="426" w:firstLine="1440"/>
        <w:jc w:val="both"/>
        <w:rPr>
          <w:rFonts w:cs="Calibri"/>
          <w:sz w:val="24"/>
          <w:szCs w:val="24"/>
        </w:rPr>
      </w:pPr>
    </w:p>
    <w:p w14:paraId="16E734CD" w14:textId="7F82B608" w:rsidR="004C7639" w:rsidRPr="003911A8" w:rsidRDefault="004C7639" w:rsidP="00396D72">
      <w:pPr>
        <w:spacing w:line="320" w:lineRule="exact"/>
        <w:ind w:right="426" w:firstLine="1440"/>
        <w:jc w:val="center"/>
        <w:rPr>
          <w:rFonts w:cs="Calibri"/>
          <w:b/>
          <w:bCs/>
          <w:sz w:val="24"/>
          <w:szCs w:val="24"/>
          <w:u w:val="single"/>
        </w:rPr>
      </w:pPr>
      <w:r w:rsidRPr="003911A8">
        <w:rPr>
          <w:rFonts w:cs="Calibri"/>
          <w:b/>
          <w:bCs/>
          <w:sz w:val="24"/>
          <w:szCs w:val="24"/>
          <w:u w:val="single"/>
        </w:rPr>
        <w:t xml:space="preserve">CONTRARRAZÕES AO </w:t>
      </w:r>
      <w:r w:rsidR="00A92778">
        <w:rPr>
          <w:rFonts w:cs="Calibri"/>
          <w:b/>
          <w:bCs/>
          <w:sz w:val="24"/>
          <w:szCs w:val="24"/>
          <w:u w:val="single"/>
        </w:rPr>
        <w:t>AGRAVO DE INSTRUMENTO</w:t>
      </w:r>
    </w:p>
    <w:p w14:paraId="1B1E4762" w14:textId="77777777" w:rsidR="001D2A89" w:rsidRDefault="001D2A89" w:rsidP="0092344F">
      <w:pPr>
        <w:spacing w:line="320" w:lineRule="exact"/>
        <w:jc w:val="both"/>
        <w:rPr>
          <w:rFonts w:ascii="Tahoma" w:hAnsi="Tahoma" w:cs="Tahoma"/>
        </w:rPr>
      </w:pPr>
    </w:p>
    <w:p w14:paraId="5FE48E57" w14:textId="77777777" w:rsidR="00A31689" w:rsidRPr="00221EE6" w:rsidRDefault="00A31689" w:rsidP="0092344F">
      <w:pPr>
        <w:spacing w:line="320" w:lineRule="exact"/>
        <w:jc w:val="both"/>
        <w:rPr>
          <w:rFonts w:ascii="Tahoma" w:hAnsi="Tahoma" w:cs="Tahoma"/>
        </w:rPr>
      </w:pPr>
    </w:p>
    <w:p w14:paraId="73A52B4D" w14:textId="77777777" w:rsidR="001D2A89" w:rsidRPr="00221EE6" w:rsidRDefault="001D2A89" w:rsidP="001D2A89">
      <w:pPr>
        <w:pStyle w:val="PargrafodaLista"/>
        <w:numPr>
          <w:ilvl w:val="0"/>
          <w:numId w:val="5"/>
        </w:numPr>
        <w:tabs>
          <w:tab w:val="left" w:pos="0"/>
        </w:tabs>
        <w:suppressAutoHyphens/>
        <w:spacing w:line="320" w:lineRule="exact"/>
        <w:contextualSpacing w:val="0"/>
        <w:jc w:val="center"/>
        <w:rPr>
          <w:rFonts w:ascii="Tahoma" w:hAnsi="Tahoma" w:cs="Tahoma"/>
          <w:b/>
          <w:smallCaps/>
          <w:color w:val="000000"/>
          <w:u w:val="single"/>
        </w:rPr>
      </w:pPr>
      <w:proofErr w:type="spellStart"/>
      <w:r w:rsidRPr="00221EE6">
        <w:rPr>
          <w:rFonts w:ascii="Tahoma" w:hAnsi="Tahoma" w:cs="Tahoma"/>
          <w:b/>
          <w:smallCaps/>
          <w:color w:val="000000"/>
          <w:u w:val="single"/>
        </w:rPr>
        <w:t>Resumo</w:t>
      </w:r>
      <w:proofErr w:type="spellEnd"/>
      <w:r w:rsidRPr="00221EE6">
        <w:rPr>
          <w:rFonts w:ascii="Tahoma" w:hAnsi="Tahoma" w:cs="Tahoma"/>
          <w:b/>
          <w:smallCaps/>
          <w:color w:val="000000"/>
          <w:u w:val="single"/>
        </w:rPr>
        <w:t xml:space="preserve"> da </w:t>
      </w:r>
      <w:proofErr w:type="spellStart"/>
      <w:r w:rsidRPr="00221EE6">
        <w:rPr>
          <w:rFonts w:ascii="Tahoma" w:hAnsi="Tahoma" w:cs="Tahoma"/>
          <w:b/>
          <w:smallCaps/>
          <w:color w:val="000000"/>
          <w:u w:val="single"/>
        </w:rPr>
        <w:t>demanda</w:t>
      </w:r>
      <w:proofErr w:type="spellEnd"/>
    </w:p>
    <w:p w14:paraId="227B2BBA" w14:textId="77777777" w:rsidR="001D2A89" w:rsidRDefault="001D2A89" w:rsidP="001D2A89">
      <w:pPr>
        <w:tabs>
          <w:tab w:val="left" w:pos="720"/>
        </w:tabs>
        <w:spacing w:line="320" w:lineRule="exact"/>
        <w:ind w:firstLine="709"/>
        <w:jc w:val="both"/>
        <w:rPr>
          <w:rFonts w:ascii="Tahoma" w:hAnsi="Tahoma" w:cs="Tahoma"/>
        </w:rPr>
      </w:pPr>
    </w:p>
    <w:p w14:paraId="5E357D30" w14:textId="77777777" w:rsidR="00A31689" w:rsidRPr="00221EE6" w:rsidRDefault="00A31689" w:rsidP="001D2A89">
      <w:pPr>
        <w:tabs>
          <w:tab w:val="left" w:pos="720"/>
        </w:tabs>
        <w:spacing w:line="320" w:lineRule="exact"/>
        <w:ind w:firstLine="709"/>
        <w:jc w:val="both"/>
        <w:rPr>
          <w:rFonts w:ascii="Tahoma" w:hAnsi="Tahoma" w:cs="Tahoma"/>
        </w:rPr>
      </w:pPr>
    </w:p>
    <w:p w14:paraId="6D96BB4B" w14:textId="45A63AC5" w:rsidR="00982DFD" w:rsidRDefault="00982DFD" w:rsidP="001D2A89">
      <w:pPr>
        <w:tabs>
          <w:tab w:val="left" w:pos="709"/>
        </w:tabs>
        <w:spacing w:line="320" w:lineRule="exact"/>
        <w:jc w:val="both"/>
        <w:rPr>
          <w:rFonts w:ascii="Tahoma" w:hAnsi="Tahoma" w:cs="Tahoma"/>
        </w:rPr>
      </w:pPr>
      <w:r>
        <w:tab/>
      </w:r>
      <w:r w:rsidRPr="00982DFD">
        <w:rPr>
          <w:rFonts w:ascii="Tahoma" w:hAnsi="Tahoma" w:cs="Tahoma"/>
        </w:rPr>
        <w:t xml:space="preserve">Cuida-se o recurso da agravante de mero inconformismo, num ato já de desespero, demonstrando argumentações inquestionavelmente </w:t>
      </w:r>
      <w:proofErr w:type="spellStart"/>
      <w:r w:rsidRPr="00982DFD">
        <w:rPr>
          <w:rFonts w:ascii="Tahoma" w:hAnsi="Tahoma" w:cs="Tahoma"/>
        </w:rPr>
        <w:t>atécnicas</w:t>
      </w:r>
      <w:proofErr w:type="spellEnd"/>
      <w:r w:rsidRPr="00982DFD">
        <w:rPr>
          <w:rFonts w:ascii="Tahoma" w:hAnsi="Tahoma" w:cs="Tahoma"/>
        </w:rPr>
        <w:t xml:space="preserve"> para tentar auferir valores indevidamente, não obstante já ter sido om imbróglio ter sido exaustiva e satisfatoriamente definido junto ao juízo a quo, senão vejamos:</w:t>
      </w:r>
    </w:p>
    <w:p w14:paraId="2989BC38" w14:textId="77777777" w:rsidR="00982DFD" w:rsidRDefault="00982DFD" w:rsidP="00982DFD">
      <w:pPr>
        <w:tabs>
          <w:tab w:val="left" w:pos="709"/>
        </w:tabs>
        <w:spacing w:line="320" w:lineRule="exact"/>
        <w:ind w:left="3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9B3A177" w14:textId="4DEDAF1B" w:rsidR="00982DFD" w:rsidRDefault="00982DFD" w:rsidP="0092344F">
      <w:pPr>
        <w:tabs>
          <w:tab w:val="left" w:pos="709"/>
        </w:tabs>
        <w:spacing w:line="320" w:lineRule="exact"/>
        <w:ind w:left="3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[...]"</w:t>
      </w:r>
      <w:r w:rsidR="006D3866">
        <w:t xml:space="preserve">Ante o exposto, rejeito a preliminar, defiro a gratuidade judiciária à parte embargada e, no mérito, acolho os embargos de terceiro, resolvendo o mérito, na forma do art. 487, inciso I, do Código de Processo Civil, para o fim de desconstituir a penhora do imóvel matriculado sob o n.º 104.284 da 2ª Zona do Registro de Imóveis da Comarca de Caxias/RS, </w:t>
      </w:r>
      <w:r w:rsidR="006D3866">
        <w:lastRenderedPageBreak/>
        <w:t xml:space="preserve">bem como dos atos subsequentes voltados à alienação do bem. Caso a ordem de penhora exarada pelo Juízo Estadual tenha sido averbada na matrícula imobiliária, determino, desde já, a expedição de ofício ao Registro de Imóveis com ordem de cancelamento da mesma. Condeno a parte embargada à restituição das custas processuais antecipadas pela embargante e de honorários advocatícios aos patronos desta, os quais, considerando o disposto no § 2° do art. 85 do Código de Processo Civil, fixo em 10% sobre o valor atribuído à causa, atualizáveis monetariamente até a data do efetivo pagamento pelo IPCA-E. Verba com exigibilidade suspensa em face à AJG ora deferida. Deixo de condenar o embargado ao restante das custas na forma do artigo 4º da Lei n.º 9.829/1996. Sentença publicada e registrada eletronicamente. Intimem-se. Comunique-se o Juízo da 6ª Vara Cível da Comarca de Caxias do Sul, perante o qual tramita a ação n.º 5004412-33.2019.8.21.0010, da decisão ora proferida. </w:t>
      </w:r>
      <w:proofErr w:type="gramStart"/>
      <w:r w:rsidR="006D3866">
        <w:t>Interposto(</w:t>
      </w:r>
      <w:proofErr w:type="gramEnd"/>
      <w:r w:rsidR="006D3866">
        <w:t xml:space="preserve">s) o(s) recurso(s), intime-se a parte contrária para contrarrazões, e, na sequência, remetam-se os autos ao Tribunal Regional Federal da 4ª Região. Transitada em julgado, certifique-se a Secretaria, e, nada mais sendo requerido, dê-se </w:t>
      </w:r>
      <w:proofErr w:type="gramStart"/>
      <w:r w:rsidR="006D3866">
        <w:t>baixa.</w:t>
      </w:r>
      <w:r w:rsidRPr="00982DFD">
        <w:rPr>
          <w:rFonts w:ascii="Tahoma" w:hAnsi="Tahoma" w:cs="Tahoma"/>
        </w:rPr>
        <w:t>”</w:t>
      </w:r>
      <w:proofErr w:type="gramEnd"/>
    </w:p>
    <w:p w14:paraId="6B460F12" w14:textId="77777777" w:rsidR="00982DFD" w:rsidRDefault="00982DFD" w:rsidP="00982DFD">
      <w:pPr>
        <w:tabs>
          <w:tab w:val="left" w:pos="709"/>
        </w:tabs>
        <w:spacing w:line="320" w:lineRule="exact"/>
        <w:ind w:left="3540"/>
        <w:jc w:val="both"/>
        <w:rPr>
          <w:rFonts w:ascii="Tahoma" w:hAnsi="Tahoma" w:cs="Tahoma"/>
        </w:rPr>
      </w:pPr>
    </w:p>
    <w:p w14:paraId="74FEB0CD" w14:textId="77777777" w:rsidR="00982DFD" w:rsidRDefault="00982DFD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82DFD">
        <w:rPr>
          <w:rFonts w:ascii="Tahoma" w:hAnsi="Tahoma" w:cs="Tahoma"/>
        </w:rPr>
        <w:t>Porém, Excelências, inconformada a parte contrária com o acertado excerto do magistrado de grau mínimo, a parte demandada interpõe agravo de instrumento sem qualquer novo fundamento, seja de provas, seja um melhor embasamento jurisprudencial que justifique a alteração da manutenção do jugado fustigado.</w:t>
      </w:r>
    </w:p>
    <w:p w14:paraId="4510959F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4E7C0DDA" w14:textId="1485E319" w:rsidR="00982DFD" w:rsidRDefault="00982DFD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82DFD">
        <w:rPr>
          <w:rFonts w:ascii="Tahoma" w:hAnsi="Tahoma" w:cs="Tahoma"/>
        </w:rPr>
        <w:t xml:space="preserve">Assim sendo, pela análise dos autos num cotejo com as argumentações aqui trazidas, restará clara o necessário </w:t>
      </w:r>
      <w:proofErr w:type="spellStart"/>
      <w:r w:rsidRPr="00982DFD">
        <w:rPr>
          <w:rFonts w:ascii="Tahoma" w:hAnsi="Tahoma" w:cs="Tahoma"/>
        </w:rPr>
        <w:t>improvimento</w:t>
      </w:r>
      <w:proofErr w:type="spellEnd"/>
      <w:r w:rsidRPr="00982DFD">
        <w:rPr>
          <w:rFonts w:ascii="Tahoma" w:hAnsi="Tahoma" w:cs="Tahoma"/>
        </w:rPr>
        <w:t xml:space="preserve"> ao recurso autoral, inclusive com estipulação da verba sucumbencial.</w:t>
      </w:r>
    </w:p>
    <w:p w14:paraId="2848BFEB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4B6F3277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5E09B59E" w14:textId="35895A85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b/>
        </w:rPr>
      </w:pPr>
      <w:r w:rsidRPr="00A31689">
        <w:rPr>
          <w:b/>
        </w:rPr>
        <w:t>II - DO PEDIDO DE EFEITO SUSPENSIVO – NÃO CONHECIMENTO</w:t>
      </w:r>
    </w:p>
    <w:p w14:paraId="6BAE622B" w14:textId="77777777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09F754F8" w14:textId="77777777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03EFE3CA" w14:textId="108F9605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A31689">
        <w:rPr>
          <w:rFonts w:ascii="Tahoma" w:hAnsi="Tahoma" w:cs="Tahoma"/>
        </w:rPr>
        <w:t xml:space="preserve">O agravante pleiteia em sua peça que lhe seja conferido efeito suspensivo a decisão interlocutória que o condenou. Como é claro em nossa normativa jurídica, o efeito suspensivo só pode ser concedido, de acordo com o art. 995 do CPC/15 “se </w:t>
      </w:r>
      <w:proofErr w:type="spellStart"/>
      <w:r w:rsidRPr="00A31689">
        <w:rPr>
          <w:rFonts w:ascii="Tahoma" w:hAnsi="Tahoma" w:cs="Tahoma"/>
        </w:rPr>
        <w:t>da</w:t>
      </w:r>
      <w:proofErr w:type="spellEnd"/>
      <w:r w:rsidRPr="00A31689">
        <w:rPr>
          <w:rFonts w:ascii="Tahoma" w:hAnsi="Tahoma" w:cs="Tahoma"/>
        </w:rPr>
        <w:t xml:space="preserve"> imediata produção de seus efeitos houver risco de dano grave, de difícil ou impossível reparação.</w:t>
      </w:r>
      <w:r>
        <w:rPr>
          <w:rFonts w:ascii="Tahoma" w:hAnsi="Tahoma" w:cs="Tahoma"/>
        </w:rPr>
        <w:t xml:space="preserve"> O que não ocorreu</w:t>
      </w:r>
      <w:r w:rsidRPr="00A31689">
        <w:rPr>
          <w:rFonts w:ascii="Tahoma" w:hAnsi="Tahoma" w:cs="Tahoma"/>
        </w:rPr>
        <w:t>”</w:t>
      </w:r>
    </w:p>
    <w:p w14:paraId="6F7AF45D" w14:textId="77777777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12C93A32" w14:textId="079AD5AC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A31689">
        <w:rPr>
          <w:rFonts w:ascii="Tahoma" w:hAnsi="Tahoma" w:cs="Tahoma"/>
        </w:rPr>
        <w:t xml:space="preserve">Como requisito para a concessão de efeito suspensivo ao agravo de instrumento exige que se configure situação da qual se possa evidenciar a probabilidade do provimento do recurso ou se </w:t>
      </w:r>
      <w:proofErr w:type="spellStart"/>
      <w:r w:rsidRPr="00A31689">
        <w:rPr>
          <w:rFonts w:ascii="Tahoma" w:hAnsi="Tahoma" w:cs="Tahoma"/>
        </w:rPr>
        <w:t>da</w:t>
      </w:r>
      <w:proofErr w:type="spellEnd"/>
      <w:r w:rsidRPr="00A31689">
        <w:rPr>
          <w:rFonts w:ascii="Tahoma" w:hAnsi="Tahoma" w:cs="Tahoma"/>
        </w:rPr>
        <w:t xml:space="preserve"> imediata produção dos efeitos da decisão houver risco de dano grave, de difícil ou impossível reparação (art. 995, parágrafo único, CPC/15).</w:t>
      </w:r>
    </w:p>
    <w:p w14:paraId="28E91BF6" w14:textId="77777777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4CCA3D0C" w14:textId="389A0411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A31689">
        <w:rPr>
          <w:rFonts w:ascii="Tahoma" w:hAnsi="Tahoma" w:cs="Tahoma"/>
        </w:rPr>
        <w:t>Ausente quaisquer desses requisitos, o recurso de agravo de instrumento deve ser recebido apenas no efeito devolutivo.</w:t>
      </w:r>
    </w:p>
    <w:p w14:paraId="5AFD769D" w14:textId="77777777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6A933B17" w14:textId="77777777" w:rsid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</w:p>
    <w:p w14:paraId="79BD1242" w14:textId="082C3DAA" w:rsidR="00982DFD" w:rsidRDefault="00E41F2B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ab/>
      </w:r>
    </w:p>
    <w:p w14:paraId="00428B0B" w14:textId="77777777" w:rsidR="00982DFD" w:rsidRDefault="00982DFD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  <w:b/>
        </w:rPr>
      </w:pPr>
    </w:p>
    <w:p w14:paraId="4C000C1A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  <w:b/>
        </w:rPr>
      </w:pPr>
    </w:p>
    <w:p w14:paraId="38DD17FD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rFonts w:ascii="Tahoma" w:hAnsi="Tahoma" w:cs="Tahoma"/>
          <w:b/>
        </w:rPr>
      </w:pPr>
    </w:p>
    <w:p w14:paraId="60772AE0" w14:textId="529D269F" w:rsidR="00C16D39" w:rsidRDefault="00C16D39" w:rsidP="00E41F2B">
      <w:pPr>
        <w:tabs>
          <w:tab w:val="left" w:pos="709"/>
        </w:tabs>
        <w:spacing w:after="0" w:line="320" w:lineRule="exact"/>
        <w:jc w:val="both"/>
        <w:rPr>
          <w:b/>
        </w:rPr>
      </w:pPr>
      <w:r>
        <w:rPr>
          <w:b/>
        </w:rPr>
        <w:tab/>
      </w:r>
      <w:r w:rsidRPr="00C16D39">
        <w:rPr>
          <w:b/>
        </w:rPr>
        <w:t>I</w:t>
      </w:r>
      <w:r w:rsidR="00A31689">
        <w:rPr>
          <w:b/>
        </w:rPr>
        <w:t>I</w:t>
      </w:r>
      <w:r w:rsidR="006D3866">
        <w:rPr>
          <w:b/>
        </w:rPr>
        <w:t>I</w:t>
      </w:r>
      <w:r w:rsidRPr="00C16D39">
        <w:rPr>
          <w:b/>
        </w:rPr>
        <w:t xml:space="preserve"> – DO CÁLCULO CORRETO</w:t>
      </w:r>
    </w:p>
    <w:p w14:paraId="789952E0" w14:textId="77777777" w:rsidR="00C16D39" w:rsidRDefault="00C16D39" w:rsidP="00E41F2B">
      <w:pPr>
        <w:tabs>
          <w:tab w:val="left" w:pos="709"/>
        </w:tabs>
        <w:spacing w:after="0" w:line="320" w:lineRule="exact"/>
        <w:jc w:val="both"/>
        <w:rPr>
          <w:b/>
        </w:rPr>
      </w:pPr>
    </w:p>
    <w:p w14:paraId="5A8C69EB" w14:textId="32638563" w:rsidR="00C16D39" w:rsidRDefault="00C16D39" w:rsidP="00E41F2B">
      <w:pPr>
        <w:tabs>
          <w:tab w:val="left" w:pos="709"/>
        </w:tabs>
        <w:spacing w:after="0" w:line="320" w:lineRule="exact"/>
        <w:jc w:val="both"/>
      </w:pPr>
      <w:r>
        <w:tab/>
        <w:t xml:space="preserve">A expressão em latim significa “duas vezes o mesmo”. A ideia do termo indica a repetição de algo ou de alguma atividade. </w:t>
      </w:r>
      <w:r w:rsidR="006D3866">
        <w:t xml:space="preserve"> </w:t>
      </w:r>
    </w:p>
    <w:p w14:paraId="3B0D56AA" w14:textId="77777777" w:rsidR="00C16D39" w:rsidRDefault="00C16D39" w:rsidP="00E41F2B">
      <w:pPr>
        <w:tabs>
          <w:tab w:val="left" w:pos="709"/>
        </w:tabs>
        <w:spacing w:after="0" w:line="320" w:lineRule="exact"/>
        <w:jc w:val="both"/>
      </w:pPr>
    </w:p>
    <w:p w14:paraId="2D0D4A32" w14:textId="09C2822A" w:rsidR="00C16D39" w:rsidRDefault="00C16D39" w:rsidP="00E41F2B">
      <w:pPr>
        <w:tabs>
          <w:tab w:val="left" w:pos="709"/>
        </w:tabs>
        <w:spacing w:after="0" w:line="320" w:lineRule="exact"/>
        <w:jc w:val="both"/>
      </w:pPr>
      <w:r>
        <w:tab/>
        <w:t xml:space="preserve">É o que aconteceria caso ocorresse a atualização monetária do imóvel, pois o mesmo já encontra-se apresentando com o valor atualizado, de modo que não poderá sofrer atualização monetária desde o termo inicial dos lucros cessantes, a fim de evitar que os valores sejam corrigidos em duplicidade (valor venal ATUALIZADO do imóvel </w:t>
      </w:r>
      <w:proofErr w:type="gramStart"/>
      <w:r>
        <w:t>+</w:t>
      </w:r>
      <w:proofErr w:type="gramEnd"/>
      <w:r>
        <w:t xml:space="preserve"> incidência de correção monetária), o que é vedado pelo ordenamento jurídico pátrio (bis in idem).</w:t>
      </w:r>
    </w:p>
    <w:p w14:paraId="060846E6" w14:textId="77777777" w:rsidR="00C16D39" w:rsidRDefault="00C16D39" w:rsidP="00E41F2B">
      <w:pPr>
        <w:tabs>
          <w:tab w:val="left" w:pos="709"/>
        </w:tabs>
        <w:spacing w:after="0" w:line="320" w:lineRule="exact"/>
        <w:jc w:val="both"/>
      </w:pPr>
    </w:p>
    <w:p w14:paraId="697A043F" w14:textId="0901D4C2" w:rsidR="0092344F" w:rsidRDefault="00C16D39" w:rsidP="00E41F2B">
      <w:pPr>
        <w:tabs>
          <w:tab w:val="left" w:pos="709"/>
        </w:tabs>
        <w:spacing w:after="0" w:line="320" w:lineRule="exact"/>
        <w:jc w:val="both"/>
      </w:pPr>
      <w:r>
        <w:tab/>
        <w:t>Admitindo-se que o valor já atualizado do imóvel (sobre o qual incidirá o percentual estipulado para lucros cessantes, portanto, perfazendo um valor atualizado que receberia hoje, caso não tivesse havido atraso) venha a sofrer devido ao impugnado, ensejando num indevido enriquecimento ilícito. Logo, correto o entendimento do juízo sentenciante.</w:t>
      </w:r>
    </w:p>
    <w:p w14:paraId="0C3E188C" w14:textId="77777777" w:rsidR="00C16D39" w:rsidRDefault="00C16D39" w:rsidP="00E41F2B">
      <w:pPr>
        <w:tabs>
          <w:tab w:val="left" w:pos="709"/>
        </w:tabs>
        <w:spacing w:after="0" w:line="320" w:lineRule="exact"/>
        <w:jc w:val="both"/>
      </w:pPr>
    </w:p>
    <w:p w14:paraId="0E33D97C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</w:pPr>
    </w:p>
    <w:p w14:paraId="1971F7C7" w14:textId="2F789F84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b/>
        </w:rPr>
      </w:pPr>
      <w:r>
        <w:rPr>
          <w:b/>
        </w:rPr>
        <w:t>IV</w:t>
      </w:r>
      <w:r w:rsidR="00C16D39" w:rsidRPr="00A011E8">
        <w:rPr>
          <w:b/>
        </w:rPr>
        <w:t xml:space="preserve"> –DOS PEDIDOS E REQUERIMENTOS</w:t>
      </w:r>
      <w:r>
        <w:rPr>
          <w:b/>
        </w:rPr>
        <w:tab/>
      </w:r>
    </w:p>
    <w:p w14:paraId="418C5F8C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b/>
        </w:rPr>
      </w:pPr>
    </w:p>
    <w:p w14:paraId="413A5A79" w14:textId="77777777" w:rsidR="00A31689" w:rsidRDefault="00A31689" w:rsidP="00E41F2B">
      <w:pPr>
        <w:tabs>
          <w:tab w:val="left" w:pos="709"/>
        </w:tabs>
        <w:spacing w:after="0" w:line="320" w:lineRule="exact"/>
        <w:jc w:val="both"/>
        <w:rPr>
          <w:b/>
        </w:rPr>
      </w:pPr>
    </w:p>
    <w:p w14:paraId="7954C92A" w14:textId="3400C116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eastAsiaTheme="minorEastAsia" w:cs="Calibri"/>
          <w:sz w:val="24"/>
          <w:szCs w:val="24"/>
          <w:lang w:eastAsia="ja-JP"/>
        </w:rPr>
      </w:pPr>
      <w:r>
        <w:tab/>
      </w:r>
      <w:r w:rsidRPr="00A31689">
        <w:rPr>
          <w:rFonts w:eastAsiaTheme="minorEastAsia" w:cs="Calibri"/>
          <w:sz w:val="24"/>
          <w:szCs w:val="24"/>
          <w:lang w:eastAsia="ja-JP"/>
        </w:rPr>
        <w:t>O não conhecimento do Agravo de Instrumento dada a ausência das peças obrigatórias conforme preconizado pelo art. 1.017, I do CPC;</w:t>
      </w:r>
    </w:p>
    <w:p w14:paraId="44B63B8E" w14:textId="77777777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eastAsiaTheme="minorEastAsia" w:cs="Calibri"/>
          <w:sz w:val="24"/>
          <w:szCs w:val="24"/>
          <w:lang w:eastAsia="ja-JP"/>
        </w:rPr>
      </w:pPr>
    </w:p>
    <w:p w14:paraId="76AD9AE9" w14:textId="00E44C87" w:rsidR="00A31689" w:rsidRPr="00A31689" w:rsidRDefault="00A31689" w:rsidP="00A31689">
      <w:pPr>
        <w:tabs>
          <w:tab w:val="left" w:pos="709"/>
        </w:tabs>
        <w:spacing w:after="0" w:line="320" w:lineRule="exact"/>
        <w:jc w:val="both"/>
        <w:rPr>
          <w:rFonts w:eastAsiaTheme="minorEastAsia" w:cs="Calibri"/>
          <w:sz w:val="24"/>
          <w:szCs w:val="24"/>
          <w:lang w:eastAsia="ja-JP"/>
        </w:rPr>
      </w:pPr>
      <w:r w:rsidRPr="00A31689">
        <w:rPr>
          <w:rFonts w:eastAsiaTheme="minorEastAsia" w:cs="Calibri"/>
          <w:sz w:val="24"/>
          <w:szCs w:val="24"/>
          <w:lang w:eastAsia="ja-JP"/>
        </w:rPr>
        <w:tab/>
        <w:t>Não conhecimento do efeito suspensivo da decisão interlocutória visto a não demonstração da imediata produção de efeitos que possam erar danos graves de difícil ou impossível rep</w:t>
      </w:r>
      <w:r>
        <w:rPr>
          <w:rFonts w:eastAsiaTheme="minorEastAsia" w:cs="Calibri"/>
          <w:sz w:val="24"/>
          <w:szCs w:val="24"/>
          <w:lang w:eastAsia="ja-JP"/>
        </w:rPr>
        <w:t>aração</w:t>
      </w:r>
      <w:r w:rsidRPr="00A31689">
        <w:rPr>
          <w:rFonts w:eastAsiaTheme="minorEastAsia" w:cs="Calibri"/>
          <w:sz w:val="24"/>
          <w:szCs w:val="24"/>
          <w:lang w:eastAsia="ja-JP"/>
        </w:rPr>
        <w:t>;</w:t>
      </w:r>
    </w:p>
    <w:p w14:paraId="2C2FCA57" w14:textId="09AD7008" w:rsidR="003E11A0" w:rsidRPr="00E41F2B" w:rsidRDefault="003E11A0" w:rsidP="0092344F">
      <w:pPr>
        <w:tabs>
          <w:tab w:val="left" w:pos="709"/>
        </w:tabs>
        <w:spacing w:after="0" w:line="320" w:lineRule="exact"/>
        <w:jc w:val="both"/>
        <w:rPr>
          <w:rFonts w:cs="Calibri"/>
        </w:rPr>
      </w:pPr>
    </w:p>
    <w:p w14:paraId="6C0B6C99" w14:textId="77777777" w:rsidR="00862622" w:rsidRPr="00E41F2B" w:rsidRDefault="00862622" w:rsidP="00862622">
      <w:pPr>
        <w:pStyle w:val="Corpodetexto"/>
        <w:ind w:firstLine="1417"/>
        <w:rPr>
          <w:rFonts w:ascii="Calibri" w:eastAsiaTheme="minorEastAsia" w:hAnsi="Calibri" w:cs="Calibri"/>
          <w:lang w:eastAsia="ja-JP" w:bidi="ar-SA"/>
        </w:rPr>
      </w:pPr>
      <w:r w:rsidRPr="00E41F2B">
        <w:rPr>
          <w:rFonts w:ascii="Calibri" w:eastAsiaTheme="minorEastAsia" w:hAnsi="Calibri" w:cs="Calibri"/>
          <w:lang w:eastAsia="ja-JP" w:bidi="ar-SA"/>
        </w:rPr>
        <w:t xml:space="preserve">Requer a Ré que todas as intimações sejam encaminhadas ao escritório de seus patronos, sito na Rua do Passeio, 38, Torre </w:t>
      </w:r>
      <w:proofErr w:type="gramStart"/>
      <w:r w:rsidRPr="00E41F2B">
        <w:rPr>
          <w:rFonts w:ascii="Calibri" w:eastAsiaTheme="minorEastAsia" w:hAnsi="Calibri" w:cs="Calibri"/>
          <w:lang w:eastAsia="ja-JP" w:bidi="ar-SA"/>
        </w:rPr>
        <w:t>2, 15 andar</w:t>
      </w:r>
      <w:proofErr w:type="gramEnd"/>
      <w:r w:rsidRPr="00E41F2B">
        <w:rPr>
          <w:rFonts w:ascii="Calibri" w:eastAsiaTheme="minorEastAsia" w:hAnsi="Calibri" w:cs="Calibri"/>
          <w:lang w:eastAsia="ja-JP" w:bidi="ar-SA"/>
        </w:rPr>
        <w:t>, Sala 1509/1512 – Centro - CEP:20021-290 – RJ – Rio de Janeiro e que as publicações sejam realizadas, exclusivamente, em nome do patrono Dr. JOÃO ALVES BARBOSA FILHO, inscrito sob o nº OAB/RS 90657-A, sob pena de nulidade das mesmas.</w:t>
      </w:r>
    </w:p>
    <w:p w14:paraId="18298950" w14:textId="1E3E3826" w:rsidR="00862622" w:rsidRPr="00E41F2B" w:rsidRDefault="00862622" w:rsidP="00862622">
      <w:pPr>
        <w:pStyle w:val="Corpodetexto"/>
        <w:ind w:left="1416" w:firstLine="1"/>
        <w:jc w:val="center"/>
        <w:rPr>
          <w:rFonts w:ascii="Calibri" w:eastAsiaTheme="minorEastAsia" w:hAnsi="Calibri" w:cs="Calibri"/>
          <w:lang w:eastAsia="ja-JP" w:bidi="ar-SA"/>
        </w:rPr>
      </w:pPr>
      <w:r w:rsidRPr="00E41F2B">
        <w:rPr>
          <w:rFonts w:ascii="Calibri" w:eastAsiaTheme="minorEastAsia" w:hAnsi="Calibri" w:cs="Calibri"/>
          <w:lang w:eastAsia="ja-JP" w:bidi="ar-SA"/>
        </w:rPr>
        <w:t>Nestes Termos,</w:t>
      </w:r>
      <w:r w:rsidRPr="00E41F2B">
        <w:rPr>
          <w:rFonts w:ascii="Calibri" w:eastAsiaTheme="minorEastAsia" w:hAnsi="Calibri" w:cs="Calibri"/>
          <w:lang w:eastAsia="ja-JP" w:bidi="ar-SA"/>
        </w:rPr>
        <w:br/>
        <w:t>Pede Deferimento,</w:t>
      </w:r>
    </w:p>
    <w:p w14:paraId="75E14D7A" w14:textId="508B6DEB" w:rsidR="00862622" w:rsidRPr="00E41F2B" w:rsidRDefault="007C32EF" w:rsidP="00862622">
      <w:pPr>
        <w:pStyle w:val="Corpodetexto"/>
        <w:ind w:firstLine="1417"/>
        <w:jc w:val="center"/>
        <w:rPr>
          <w:rFonts w:ascii="Calibri" w:eastAsiaTheme="minorEastAsia" w:hAnsi="Calibri" w:cs="Calibri"/>
          <w:lang w:eastAsia="ja-JP" w:bidi="ar-SA"/>
        </w:rPr>
      </w:pPr>
      <w:r w:rsidRPr="00E41F2B">
        <w:rPr>
          <w:rFonts w:ascii="Calibri" w:eastAsiaTheme="minorEastAsia" w:hAnsi="Calibri" w:cs="Calibri"/>
          <w:lang w:eastAsia="ja-JP" w:bidi="ar-SA"/>
        </w:rPr>
        <w:t>PORTO ALEGRE</w:t>
      </w:r>
      <w:r w:rsidR="00862622" w:rsidRPr="00E41F2B">
        <w:rPr>
          <w:rFonts w:ascii="Calibri" w:eastAsiaTheme="minorEastAsia" w:hAnsi="Calibri" w:cs="Calibri"/>
          <w:lang w:eastAsia="ja-JP" w:bidi="ar-SA"/>
        </w:rPr>
        <w:t xml:space="preserve">, </w:t>
      </w:r>
      <w:r w:rsidR="006D3866">
        <w:rPr>
          <w:rFonts w:ascii="Calibri" w:eastAsiaTheme="minorEastAsia" w:hAnsi="Calibri" w:cs="Calibri"/>
          <w:lang w:eastAsia="ja-JP" w:bidi="ar-SA"/>
        </w:rPr>
        <w:t>06</w:t>
      </w:r>
      <w:r w:rsidR="00862622" w:rsidRPr="00E41F2B">
        <w:rPr>
          <w:rFonts w:ascii="Calibri" w:eastAsiaTheme="minorEastAsia" w:hAnsi="Calibri" w:cs="Calibri"/>
          <w:lang w:eastAsia="ja-JP" w:bidi="ar-SA"/>
        </w:rPr>
        <w:t xml:space="preserve"> de </w:t>
      </w:r>
      <w:proofErr w:type="gramStart"/>
      <w:r w:rsidR="006D3866">
        <w:rPr>
          <w:rFonts w:ascii="Calibri" w:eastAsiaTheme="minorEastAsia" w:hAnsi="Calibri" w:cs="Calibri"/>
          <w:lang w:eastAsia="ja-JP" w:bidi="ar-SA"/>
        </w:rPr>
        <w:t>Janei</w:t>
      </w:r>
      <w:r w:rsidR="00A31689">
        <w:rPr>
          <w:rFonts w:ascii="Calibri" w:eastAsiaTheme="minorEastAsia" w:hAnsi="Calibri" w:cs="Calibri"/>
          <w:lang w:eastAsia="ja-JP" w:bidi="ar-SA"/>
        </w:rPr>
        <w:t>r</w:t>
      </w:r>
      <w:r w:rsidRPr="00E41F2B">
        <w:rPr>
          <w:rFonts w:ascii="Calibri" w:eastAsiaTheme="minorEastAsia" w:hAnsi="Calibri" w:cs="Calibri"/>
          <w:lang w:eastAsia="ja-JP" w:bidi="ar-SA"/>
        </w:rPr>
        <w:t>o</w:t>
      </w:r>
      <w:proofErr w:type="gramEnd"/>
      <w:r w:rsidR="00862622" w:rsidRPr="00E41F2B">
        <w:rPr>
          <w:rFonts w:ascii="Calibri" w:eastAsiaTheme="minorEastAsia" w:hAnsi="Calibri" w:cs="Calibri"/>
          <w:lang w:eastAsia="ja-JP" w:bidi="ar-SA"/>
        </w:rPr>
        <w:t xml:space="preserve"> de 202</w:t>
      </w:r>
      <w:r w:rsidR="006D3866">
        <w:rPr>
          <w:rFonts w:ascii="Calibri" w:eastAsiaTheme="minorEastAsia" w:hAnsi="Calibri" w:cs="Calibri"/>
          <w:lang w:eastAsia="ja-JP" w:bidi="ar-SA"/>
        </w:rPr>
        <w:t>4</w:t>
      </w:r>
      <w:r w:rsidR="00862622" w:rsidRPr="00E41F2B">
        <w:rPr>
          <w:rFonts w:ascii="Calibri" w:eastAsiaTheme="minorEastAsia" w:hAnsi="Calibri" w:cs="Calibri"/>
          <w:lang w:eastAsia="ja-JP" w:bidi="ar-SA"/>
        </w:rPr>
        <w:t>.</w:t>
      </w:r>
    </w:p>
    <w:p w14:paraId="2AE38B69" w14:textId="09116481" w:rsidR="004C7639" w:rsidRPr="00E41F2B" w:rsidRDefault="00862622" w:rsidP="00862622">
      <w:pPr>
        <w:pStyle w:val="Corpodetexto"/>
        <w:ind w:left="1417"/>
        <w:jc w:val="center"/>
        <w:rPr>
          <w:rFonts w:ascii="Calibri" w:eastAsiaTheme="minorEastAsia" w:hAnsi="Calibri" w:cs="Calibri"/>
          <w:b/>
          <w:bCs/>
          <w:lang w:eastAsia="ja-JP" w:bidi="ar-SA"/>
        </w:rPr>
      </w:pPr>
      <w:r w:rsidRPr="00E41F2B">
        <w:rPr>
          <w:rFonts w:ascii="Calibri" w:eastAsiaTheme="minorEastAsia" w:hAnsi="Calibri" w:cs="Calibri"/>
          <w:b/>
          <w:bCs/>
          <w:lang w:eastAsia="ja-JP" w:bidi="ar-SA"/>
        </w:rPr>
        <w:t>JOÃO BARBOSA</w:t>
      </w:r>
      <w:r w:rsidRPr="00E41F2B">
        <w:rPr>
          <w:rFonts w:ascii="Calibri" w:eastAsiaTheme="minorEastAsia" w:hAnsi="Calibri" w:cs="Calibri"/>
          <w:b/>
          <w:bCs/>
          <w:lang w:eastAsia="ja-JP" w:bidi="ar-SA"/>
        </w:rPr>
        <w:br/>
        <w:t>OAB/RS 90657-A</w:t>
      </w:r>
    </w:p>
    <w:p w14:paraId="7A17B87E" w14:textId="77777777" w:rsidR="004C7639" w:rsidRPr="00E41F2B" w:rsidRDefault="004C7639" w:rsidP="004C7639">
      <w:pPr>
        <w:spacing w:before="200" w:after="200" w:line="240" w:lineRule="auto"/>
        <w:jc w:val="both"/>
        <w:rPr>
          <w:rFonts w:cs="Calibri"/>
          <w:sz w:val="24"/>
          <w:szCs w:val="24"/>
        </w:rPr>
      </w:pPr>
    </w:p>
    <w:p w14:paraId="60DCF190" w14:textId="0C354106" w:rsidR="00FA2C18" w:rsidRPr="003911A8" w:rsidRDefault="005941C5" w:rsidP="00E962C2">
      <w:pPr>
        <w:spacing w:before="200" w:after="200" w:line="240" w:lineRule="auto"/>
        <w:jc w:val="both"/>
        <w:rPr>
          <w:rFonts w:cs="Calibri"/>
          <w:sz w:val="24"/>
          <w:szCs w:val="24"/>
        </w:rPr>
      </w:pPr>
      <w:r w:rsidRPr="003911A8">
        <w:rPr>
          <w:rFonts w:cs="Calibri"/>
          <w:sz w:val="24"/>
          <w:szCs w:val="24"/>
        </w:rPr>
        <w:t> </w:t>
      </w:r>
    </w:p>
    <w:sectPr w:rsidR="00FA2C18" w:rsidRPr="003911A8" w:rsidSect="0076787A">
      <w:footerReference w:type="default" r:id="rId9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41F05" w14:textId="77777777" w:rsidR="008C50E2" w:rsidRDefault="008C50E2">
      <w:pPr>
        <w:spacing w:after="0" w:line="240" w:lineRule="auto"/>
      </w:pPr>
      <w:r>
        <w:separator/>
      </w:r>
    </w:p>
  </w:endnote>
  <w:endnote w:type="continuationSeparator" w:id="0">
    <w:p w14:paraId="63783148" w14:textId="77777777" w:rsidR="008C50E2" w:rsidRDefault="008C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13502" w14:textId="77777777" w:rsidR="00FA2C18" w:rsidRDefault="005941C5" w:rsidP="00FE5317">
    <w:pPr>
      <w:pStyle w:val="Rodap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14:paraId="2F8B6DF0" w14:textId="77777777" w:rsidR="00FE5317" w:rsidRPr="00FE5317" w:rsidRDefault="005941C5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13054C5C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4619F" w14:textId="77777777" w:rsidR="008C50E2" w:rsidRDefault="008C50E2">
      <w:pPr>
        <w:spacing w:after="0" w:line="240" w:lineRule="auto"/>
      </w:pPr>
      <w:r>
        <w:separator/>
      </w:r>
    </w:p>
  </w:footnote>
  <w:footnote w:type="continuationSeparator" w:id="0">
    <w:p w14:paraId="3CB11438" w14:textId="77777777" w:rsidR="008C50E2" w:rsidRDefault="008C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A32"/>
    <w:multiLevelType w:val="hybridMultilevel"/>
    <w:tmpl w:val="FD266818"/>
    <w:lvl w:ilvl="0" w:tplc="F52637E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7275F6"/>
    <w:multiLevelType w:val="hybridMultilevel"/>
    <w:tmpl w:val="67ACA3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EB8"/>
    <w:multiLevelType w:val="hybridMultilevel"/>
    <w:tmpl w:val="4ACCD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34FC"/>
    <w:multiLevelType w:val="hybridMultilevel"/>
    <w:tmpl w:val="13B6A5B4"/>
    <w:lvl w:ilvl="0" w:tplc="D70ED4AA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F5FAF"/>
    <w:multiLevelType w:val="hybridMultilevel"/>
    <w:tmpl w:val="34EEE2BC"/>
    <w:lvl w:ilvl="0" w:tplc="0416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1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16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1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16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B7"/>
    <w:rsid w:val="0004661C"/>
    <w:rsid w:val="00090C70"/>
    <w:rsid w:val="000C60A8"/>
    <w:rsid w:val="00181DE2"/>
    <w:rsid w:val="001D2A89"/>
    <w:rsid w:val="002210F1"/>
    <w:rsid w:val="00255B3C"/>
    <w:rsid w:val="002D5FB7"/>
    <w:rsid w:val="00320DCE"/>
    <w:rsid w:val="00326B23"/>
    <w:rsid w:val="003349B7"/>
    <w:rsid w:val="0037684E"/>
    <w:rsid w:val="00387F34"/>
    <w:rsid w:val="003911A8"/>
    <w:rsid w:val="00396D72"/>
    <w:rsid w:val="003A6BC8"/>
    <w:rsid w:val="003E11A0"/>
    <w:rsid w:val="003F5DCE"/>
    <w:rsid w:val="00404C94"/>
    <w:rsid w:val="00486EBB"/>
    <w:rsid w:val="004C1027"/>
    <w:rsid w:val="004C7639"/>
    <w:rsid w:val="0052134B"/>
    <w:rsid w:val="00530F86"/>
    <w:rsid w:val="005663F9"/>
    <w:rsid w:val="005869BC"/>
    <w:rsid w:val="005941C5"/>
    <w:rsid w:val="005A5474"/>
    <w:rsid w:val="005D4224"/>
    <w:rsid w:val="005E226B"/>
    <w:rsid w:val="00654BB2"/>
    <w:rsid w:val="00673F32"/>
    <w:rsid w:val="006B1A14"/>
    <w:rsid w:val="006B5371"/>
    <w:rsid w:val="006D3866"/>
    <w:rsid w:val="006F66E3"/>
    <w:rsid w:val="006F7A6B"/>
    <w:rsid w:val="00701612"/>
    <w:rsid w:val="0076787A"/>
    <w:rsid w:val="007A3913"/>
    <w:rsid w:val="007C32EF"/>
    <w:rsid w:val="007E1F86"/>
    <w:rsid w:val="00862622"/>
    <w:rsid w:val="00873596"/>
    <w:rsid w:val="00874FFE"/>
    <w:rsid w:val="008765E4"/>
    <w:rsid w:val="008B00C4"/>
    <w:rsid w:val="008B1D23"/>
    <w:rsid w:val="008C50E2"/>
    <w:rsid w:val="008E1AB2"/>
    <w:rsid w:val="008F4CF5"/>
    <w:rsid w:val="0092344F"/>
    <w:rsid w:val="00956E0D"/>
    <w:rsid w:val="00965291"/>
    <w:rsid w:val="00982DFD"/>
    <w:rsid w:val="009D3C6C"/>
    <w:rsid w:val="009E3B76"/>
    <w:rsid w:val="00A011E8"/>
    <w:rsid w:val="00A31689"/>
    <w:rsid w:val="00A92778"/>
    <w:rsid w:val="00BA2B36"/>
    <w:rsid w:val="00C16D39"/>
    <w:rsid w:val="00C81778"/>
    <w:rsid w:val="00CC074C"/>
    <w:rsid w:val="00DA4388"/>
    <w:rsid w:val="00DB59AA"/>
    <w:rsid w:val="00DE6C5E"/>
    <w:rsid w:val="00E015EA"/>
    <w:rsid w:val="00E41F2B"/>
    <w:rsid w:val="00E67247"/>
    <w:rsid w:val="00E962C2"/>
    <w:rsid w:val="00EB6B0C"/>
    <w:rsid w:val="00EC3A99"/>
    <w:rsid w:val="00F26943"/>
    <w:rsid w:val="00FA2C18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894B"/>
  <w15:docId w15:val="{A173964C-702F-4378-9A92-F2209F7B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4C7639"/>
    <w:pPr>
      <w:keepNext/>
      <w:widowControl w:val="0"/>
      <w:suppressAutoHyphens/>
      <w:spacing w:before="397" w:after="397" w:line="36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zh-CN" w:bidi="hi-I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2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paragraph" w:styleId="NormalWeb">
    <w:name w:val="Normal (Web)"/>
    <w:basedOn w:val="Normal"/>
    <w:uiPriority w:val="99"/>
    <w:semiHidden/>
    <w:unhideWhenUsed/>
    <w:rsid w:val="00594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B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C7639"/>
    <w:rPr>
      <w:rFonts w:ascii="Times New Roman" w:eastAsia="Times New Roman" w:hAnsi="Times New Roman"/>
      <w:b/>
      <w:bCs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4C7639"/>
    <w:pPr>
      <w:widowControl w:val="0"/>
      <w:suppressAutoHyphens/>
      <w:spacing w:before="397" w:after="397" w:line="360" w:lineRule="auto"/>
      <w:jc w:val="both"/>
    </w:pPr>
    <w:rPr>
      <w:rFonts w:ascii="Times New Roman" w:eastAsia="Times New Roman" w:hAnsi="Times New Roman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C7639"/>
    <w:rPr>
      <w:rFonts w:ascii="Times New Roman" w:eastAsia="Times New Roman" w:hAnsi="Times New Roman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99"/>
    <w:qFormat/>
    <w:rsid w:val="0004661C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661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661C"/>
    <w:rPr>
      <w:rFonts w:asciiTheme="minorHAnsi" w:eastAsiaTheme="minorEastAsia" w:hAnsiTheme="minorHAnsi" w:cstheme="minorBidi"/>
      <w:lang w:val="en-US" w:eastAsia="ja-JP"/>
    </w:rPr>
  </w:style>
  <w:style w:type="character" w:styleId="Refdenotaderodap">
    <w:name w:val="footnote reference"/>
    <w:aliases w:val="sobrescrito,Referência de rodapé"/>
    <w:basedOn w:val="Fontepargpadro"/>
    <w:unhideWhenUsed/>
    <w:rsid w:val="0004661C"/>
    <w:rPr>
      <w:vertAlign w:val="superscript"/>
    </w:rPr>
  </w:style>
  <w:style w:type="character" w:customStyle="1" w:styleId="Ttulo3Char">
    <w:name w:val="Título 3 Char"/>
    <w:basedOn w:val="Fontepargpadro"/>
    <w:link w:val="Ttulo3"/>
    <w:semiHidden/>
    <w:rsid w:val="008626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1D2A89"/>
    <w:pPr>
      <w:spacing w:after="120" w:line="480" w:lineRule="auto"/>
    </w:pPr>
    <w:rPr>
      <w:rFonts w:ascii="Cambria" w:eastAsia="Cambria" w:hAnsi="Cambri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1D2A89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BF40-C1AD-42D8-8896-2D2D412C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Araujo</dc:creator>
  <cp:lastModifiedBy>Conta da Microsoft</cp:lastModifiedBy>
  <cp:revision>2</cp:revision>
  <dcterms:created xsi:type="dcterms:W3CDTF">2024-01-06T14:40:00Z</dcterms:created>
  <dcterms:modified xsi:type="dcterms:W3CDTF">2024-01-06T14:40:00Z</dcterms:modified>
</cp:coreProperties>
</file>