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5"/>
      </w:tblGrid>
      <w:tr w:rsidR="006A1471" w:rsidRPr="006A1471">
        <w:trPr>
          <w:trHeight w:val="420"/>
          <w:tblCellSpacing w:w="0" w:type="dxa"/>
          <w:jc w:val="center"/>
        </w:trPr>
        <w:tc>
          <w:tcPr>
            <w:tcW w:w="4450" w:type="pct"/>
            <w:tcBorders>
              <w:bottom w:val="single" w:sz="6" w:space="0" w:color="CCCCCC"/>
            </w:tcBorders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A147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>Cálculo de atualização monetária</w:t>
            </w:r>
          </w:p>
        </w:tc>
      </w:tr>
      <w:tr w:rsidR="006A1471" w:rsidRPr="006A1471">
        <w:trPr>
          <w:trHeight w:val="9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hyperlink r:id="rId4" w:history="1">
              <w:r w:rsidRPr="006A1471">
                <w:rPr>
                  <w:rFonts w:ascii="Verdana" w:eastAsia="Times New Roman" w:hAnsi="Verdana" w:cs="Times New Roman"/>
                  <w:b/>
                  <w:bCs/>
                  <w:color w:val="0000CC"/>
                  <w:sz w:val="17"/>
                  <w:szCs w:val="17"/>
                </w:rPr>
                <w:t>Voltar</w:t>
              </w:r>
            </w:hyperlink>
            <w:r w:rsidRPr="006A14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   </w:t>
            </w:r>
            <w:hyperlink r:id="rId5" w:history="1">
              <w:r w:rsidRPr="006A1471">
                <w:rPr>
                  <w:rFonts w:ascii="Verdana" w:eastAsia="Times New Roman" w:hAnsi="Verdana" w:cs="Times New Roman"/>
                  <w:b/>
                  <w:bCs/>
                  <w:color w:val="0000CC"/>
                  <w:sz w:val="17"/>
                  <w:szCs w:val="17"/>
                </w:rPr>
                <w:t xml:space="preserve"> Versão para Impressão</w:t>
              </w:r>
            </w:hyperlink>
            <w:r w:rsidRPr="006A14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6A1471" w:rsidRPr="006A1471" w:rsidRDefault="006A1471" w:rsidP="006A147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color w:val="auto"/>
          <w:sz w:val="16"/>
          <w:szCs w:val="16"/>
        </w:rPr>
      </w:pPr>
      <w:r w:rsidRPr="006A1471">
        <w:rPr>
          <w:rFonts w:ascii="Arial" w:eastAsia="Times New Roman" w:hAnsi="Arial" w:cs="Arial"/>
          <w:vanish/>
          <w:color w:val="auto"/>
          <w:sz w:val="16"/>
          <w:szCs w:val="16"/>
        </w:rPr>
        <w:t>Parte superior do formulário</w:t>
      </w:r>
    </w:p>
    <w:p w:rsidR="006A1471" w:rsidRPr="006A1471" w:rsidRDefault="006A1471" w:rsidP="006A14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6" type="#_x0000_t75" style="width:1in;height:18pt" o:ole="">
            <v:imagedata r:id="rId6" o:title=""/>
          </v:shape>
          <w:control r:id="rId7" w:name="DefaultOcxName" w:shapeid="_x0000_i1196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95" type="#_x0000_t75" style="width:1in;height:18pt" o:ole="">
            <v:imagedata r:id="rId8" o:title=""/>
          </v:shape>
          <w:control r:id="rId9" w:name="DefaultOcxName1" w:shapeid="_x0000_i1195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94" type="#_x0000_t75" style="width:1in;height:18pt" o:ole="">
            <v:imagedata r:id="rId10" o:title=""/>
          </v:shape>
          <w:control r:id="rId11" w:name="DefaultOcxName2" w:shapeid="_x0000_i1194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93" type="#_x0000_t75" style="width:1in;height:18pt" o:ole="">
            <v:imagedata r:id="rId12" o:title=""/>
          </v:shape>
          <w:control r:id="rId13" w:name="DefaultOcxName3" w:shapeid="_x0000_i1193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92" type="#_x0000_t75" style="width:1in;height:18pt" o:ole="">
            <v:imagedata r:id="rId14" o:title=""/>
          </v:shape>
          <w:control r:id="rId15" w:name="DefaultOcxName4" w:shapeid="_x0000_i1192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91" type="#_x0000_t75" style="width:1in;height:18pt" o:ole="">
            <v:imagedata r:id="rId16" o:title=""/>
          </v:shape>
          <w:control r:id="rId17" w:name="DefaultOcxName5" w:shapeid="_x0000_i1191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90" type="#_x0000_t75" style="width:1in;height:18pt" o:ole="">
            <v:imagedata r:id="rId18" o:title=""/>
          </v:shape>
          <w:control r:id="rId19" w:name="DefaultOcxName6" w:shapeid="_x0000_i1190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9" type="#_x0000_t75" style="width:1in;height:18pt" o:ole="">
            <v:imagedata r:id="rId20" o:title=""/>
          </v:shape>
          <w:control r:id="rId21" w:name="DefaultOcxName7" w:shapeid="_x0000_i1189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8" type="#_x0000_t75" style="width:1in;height:18pt" o:ole="">
            <v:imagedata r:id="rId6" o:title=""/>
          </v:shape>
          <w:control r:id="rId22" w:name="DefaultOcxName8" w:shapeid="_x0000_i1188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7" type="#_x0000_t75" style="width:1in;height:18pt" o:ole="">
            <v:imagedata r:id="rId6" o:title=""/>
          </v:shape>
          <w:control r:id="rId23" w:name="DefaultOcxName9" w:shapeid="_x0000_i1187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6" type="#_x0000_t75" style="width:1in;height:18pt" o:ole="">
            <v:imagedata r:id="rId24" o:title=""/>
          </v:shape>
          <w:control r:id="rId25" w:name="DefaultOcxName10" w:shapeid="_x0000_i1186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5" type="#_x0000_t75" style="width:1in;height:18pt" o:ole="">
            <v:imagedata r:id="rId26" o:title=""/>
          </v:shape>
          <w:control r:id="rId27" w:name="DefaultOcxName11" w:shapeid="_x0000_i1185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4" type="#_x0000_t75" style="width:1in;height:18pt" o:ole="">
            <v:imagedata r:id="rId28" o:title=""/>
          </v:shape>
          <w:control r:id="rId29" w:name="DefaultOcxName12" w:shapeid="_x0000_i1184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3" type="#_x0000_t75" style="width:1in;height:18pt" o:ole="">
            <v:imagedata r:id="rId30" o:title=""/>
          </v:shape>
          <w:control r:id="rId31" w:name="DefaultOcxName13" w:shapeid="_x0000_i1183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2" type="#_x0000_t75" style="width:1in;height:18pt" o:ole="">
            <v:imagedata r:id="rId32" o:title=""/>
          </v:shape>
          <w:control r:id="rId33" w:name="DefaultOcxName14" w:shapeid="_x0000_i1182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1" type="#_x0000_t75" style="width:1in;height:18pt" o:ole="">
            <v:imagedata r:id="rId34" o:title=""/>
          </v:shape>
          <w:control r:id="rId35" w:name="DefaultOcxName15" w:shapeid="_x0000_i1181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80" type="#_x0000_t75" style="width:1in;height:18pt" o:ole="">
            <v:imagedata r:id="rId36" o:title=""/>
          </v:shape>
          <w:control r:id="rId37" w:name="DefaultOcxName16" w:shapeid="_x0000_i1180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79" type="#_x0000_t75" style="width:1in;height:18pt" o:ole="">
            <v:imagedata r:id="rId16" o:title=""/>
          </v:shape>
          <w:control r:id="rId38" w:name="DefaultOcxName17" w:shapeid="_x0000_i1179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78" type="#_x0000_t75" style="width:1in;height:18pt" o:ole="">
            <v:imagedata r:id="rId6" o:title=""/>
          </v:shape>
          <w:control r:id="rId39" w:name="DefaultOcxName18" w:shapeid="_x0000_i1178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77" type="#_x0000_t75" style="width:1in;height:18pt" o:ole="">
            <v:imagedata r:id="rId40" o:title=""/>
          </v:shape>
          <w:control r:id="rId41" w:name="DefaultOcxName19" w:shapeid="_x0000_i1177"/>
        </w:object>
      </w:r>
      <w:r w:rsidRPr="006A1471">
        <w:rPr>
          <w:rFonts w:ascii="Times New Roman" w:eastAsia="Times New Roman" w:hAnsi="Times New Roman" w:cs="Times New Roman"/>
          <w:color w:val="auto"/>
          <w:sz w:val="24"/>
          <w:szCs w:val="24"/>
        </w:rPr>
        <w:object w:dxaOrig="1440" w:dyaOrig="1440">
          <v:shape id="_x0000_i1176" type="#_x0000_t75" style="width:1in;height:18pt" o:ole="">
            <v:imagedata r:id="rId18" o:title=""/>
          </v:shape>
          <w:control r:id="rId42" w:name="DefaultOcxName20" w:shapeid="_x0000_i1176"/>
        </w:object>
      </w:r>
    </w:p>
    <w:tbl>
      <w:tblPr>
        <w:tblW w:w="4850" w:type="pct"/>
        <w:jc w:val="center"/>
        <w:tblCellSpacing w:w="7" w:type="dxa"/>
        <w:tblBorders>
          <w:top w:val="threeDEmboss" w:sz="6" w:space="0" w:color="006699"/>
          <w:left w:val="threeDEmboss" w:sz="6" w:space="0" w:color="006699"/>
          <w:bottom w:val="threeDEmboss" w:sz="6" w:space="0" w:color="006699"/>
          <w:right w:val="threeDEmboss" w:sz="6" w:space="0" w:color="006699"/>
        </w:tblBorders>
        <w:shd w:val="clear" w:color="auto" w:fill="E2EDE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6"/>
        <w:gridCol w:w="4979"/>
      </w:tblGrid>
      <w:tr w:rsidR="006A1471" w:rsidRPr="006A1471">
        <w:trPr>
          <w:trHeight w:val="300"/>
          <w:tblCellSpacing w:w="7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Dados básicos informados para cálculo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Descrição do cálculo</w:t>
            </w:r>
          </w:p>
        </w:tc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 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Valor Nominal</w:t>
            </w:r>
          </w:p>
        </w:tc>
        <w:tc>
          <w:tcPr>
            <w:tcW w:w="3000" w:type="pct"/>
            <w:shd w:val="clear" w:color="auto" w:fill="FFFFFF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</w:rPr>
            </w:pPr>
            <w:r w:rsidRPr="006A1471">
              <w:rPr>
                <w:rFonts w:ascii="Verdana" w:eastAsia="Times New Roman" w:hAnsi="Verdana" w:cs="Times New Roman"/>
                <w:sz w:val="15"/>
                <w:szCs w:val="15"/>
              </w:rPr>
              <w:t>R$ 13.500,00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Indexador e metodologia de cálculo</w:t>
            </w:r>
          </w:p>
        </w:tc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 xml:space="preserve">INPC-IBGE - Calculado pelo critério mês cheio. 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Período da correção</w:t>
            </w:r>
          </w:p>
        </w:tc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 xml:space="preserve">Julho/2008 a </w:t>
            </w:r>
            <w:proofErr w:type="gramStart"/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Março</w:t>
            </w:r>
            <w:proofErr w:type="gramEnd"/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 xml:space="preserve">/2018 </w:t>
            </w:r>
          </w:p>
        </w:tc>
      </w:tr>
      <w:tr w:rsidR="006A1471" w:rsidRPr="006A1471">
        <w:trPr>
          <w:trHeight w:val="30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Taxa de juros (%)</w:t>
            </w:r>
          </w:p>
        </w:tc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1 % a.m. simples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Período dos juros</w:t>
            </w:r>
          </w:p>
        </w:tc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 xml:space="preserve">24/11/2008 a 20/4/2018 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Honorários (%)</w:t>
            </w:r>
          </w:p>
        </w:tc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20 %</w:t>
            </w:r>
          </w:p>
        </w:tc>
      </w:tr>
    </w:tbl>
    <w:p w:rsidR="006A1471" w:rsidRPr="006A1471" w:rsidRDefault="006A1471" w:rsidP="006A14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4850" w:type="pct"/>
        <w:jc w:val="center"/>
        <w:tblCellSpacing w:w="7" w:type="dxa"/>
        <w:tblBorders>
          <w:top w:val="threeDEmboss" w:sz="6" w:space="0" w:color="006699"/>
          <w:left w:val="threeDEmboss" w:sz="6" w:space="0" w:color="006699"/>
          <w:bottom w:val="threeDEmboss" w:sz="6" w:space="0" w:color="006699"/>
          <w:right w:val="threeDEmboss" w:sz="6" w:space="0" w:color="006699"/>
        </w:tblBorders>
        <w:shd w:val="clear" w:color="auto" w:fill="E2EDE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0"/>
        <w:gridCol w:w="839"/>
        <w:gridCol w:w="4146"/>
      </w:tblGrid>
      <w:tr w:rsidR="006A1471" w:rsidRPr="006A1471">
        <w:trPr>
          <w:trHeight w:val="300"/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Dados calculados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Fator de correção do período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3530 dias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1,738205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Percentual correspondente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3530 dias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73,820488 %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Valor corrigido para 1/3/2018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(=)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R$ 23.465,77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proofErr w:type="gramStart"/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Juros(</w:t>
            </w:r>
            <w:proofErr w:type="gramEnd"/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3434 dias-113,00000%)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(+)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R$ 26.516,32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proofErr w:type="gramStart"/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Sub Total</w:t>
            </w:r>
            <w:proofErr w:type="gram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(=)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R$ 49.982,09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Honorários (20%)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(+)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sz w:val="14"/>
                <w:szCs w:val="14"/>
              </w:rPr>
              <w:t>R$ 9.996,42</w:t>
            </w:r>
          </w:p>
        </w:tc>
      </w:tr>
      <w:tr w:rsidR="006A1471" w:rsidRPr="006A1471">
        <w:trPr>
          <w:trHeight w:val="270"/>
          <w:tblCellSpacing w:w="7" w:type="dxa"/>
          <w:jc w:val="center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6A14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Valor total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b/>
                <w:bCs/>
                <w:sz w:val="14"/>
                <w:szCs w:val="14"/>
              </w:rPr>
              <w:t>(=)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6A1471" w:rsidRPr="006A1471" w:rsidRDefault="006A1471" w:rsidP="006A1471">
            <w:pPr>
              <w:spacing w:after="0" w:line="240" w:lineRule="auto"/>
              <w:ind w:firstLine="40"/>
              <w:jc w:val="right"/>
              <w:rPr>
                <w:rFonts w:ascii="Verdana" w:eastAsia="Times New Roman" w:hAnsi="Verdana" w:cs="Times New Roman"/>
                <w:sz w:val="14"/>
                <w:szCs w:val="14"/>
              </w:rPr>
            </w:pPr>
            <w:r w:rsidRPr="006A147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R$ 59.978,51</w:t>
            </w:r>
          </w:p>
        </w:tc>
      </w:tr>
    </w:tbl>
    <w:p w:rsidR="006A1471" w:rsidRPr="006A1471" w:rsidRDefault="006A1471" w:rsidP="006A147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color w:val="auto"/>
          <w:sz w:val="16"/>
          <w:szCs w:val="16"/>
        </w:rPr>
      </w:pPr>
      <w:bookmarkStart w:id="0" w:name="_GoBack"/>
      <w:bookmarkEnd w:id="0"/>
      <w:r w:rsidRPr="006A1471">
        <w:rPr>
          <w:rFonts w:ascii="Arial" w:eastAsia="Times New Roman" w:hAnsi="Arial" w:cs="Arial"/>
          <w:vanish/>
          <w:color w:val="auto"/>
          <w:sz w:val="16"/>
          <w:szCs w:val="16"/>
        </w:rPr>
        <w:t>Parte inferior do formulário</w:t>
      </w:r>
    </w:p>
    <w:p w:rsidR="00A66C89" w:rsidRPr="00A66C89" w:rsidRDefault="00A66C89" w:rsidP="006A1471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color w:val="auto"/>
          <w:sz w:val="16"/>
          <w:szCs w:val="16"/>
        </w:rPr>
      </w:pPr>
      <w:r w:rsidRPr="00A66C89">
        <w:rPr>
          <w:rFonts w:ascii="Arial" w:eastAsia="Times New Roman" w:hAnsi="Arial" w:cs="Arial"/>
          <w:vanish/>
          <w:color w:val="auto"/>
          <w:sz w:val="16"/>
          <w:szCs w:val="16"/>
        </w:rPr>
        <w:t>Parte inferior do formulário</w:t>
      </w:r>
    </w:p>
    <w:p w:rsidR="00F83139" w:rsidRDefault="00F83139"/>
    <w:p w:rsidR="00F83139" w:rsidRDefault="006A1471">
      <w:pPr>
        <w:spacing w:after="113"/>
      </w:pPr>
      <w:r>
        <w:t>C</w:t>
      </w:r>
      <w:r>
        <w:t xml:space="preserve">ORREÇÃO MONETÁRIA RETROAGIU 2 MESES UMA VEZ QUE O ÍNDICE </w:t>
      </w:r>
      <w:proofErr w:type="gramStart"/>
      <w:r>
        <w:t>ENCONTRA-SE</w:t>
      </w:r>
      <w:proofErr w:type="gramEnd"/>
      <w:r>
        <w:t xml:space="preserve"> ATUALIZADO ATÉ FEVEREIRO E O PAGAMENTO TEM PREVISÃO PARA ABRIL. </w:t>
      </w:r>
    </w:p>
    <w:p w:rsidR="00F83139" w:rsidRDefault="00B23037">
      <w:pPr>
        <w:spacing w:after="0"/>
        <w:jc w:val="right"/>
      </w:pPr>
      <w:r>
        <w:rPr>
          <w:noProof/>
        </w:rPr>
        <w:drawing>
          <wp:inline distT="0" distB="0" distL="0" distR="0" wp14:anchorId="748FF49E" wp14:editId="01EE2768">
            <wp:extent cx="5436870" cy="324675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36870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1471">
        <w:t xml:space="preserve"> </w:t>
      </w:r>
    </w:p>
    <w:sectPr w:rsidR="00F83139">
      <w:pgSz w:w="11906" w:h="16838"/>
      <w:pgMar w:top="1440" w:right="1642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139"/>
    <w:rsid w:val="006A1471"/>
    <w:rsid w:val="00A66C89"/>
    <w:rsid w:val="00B23037"/>
    <w:rsid w:val="00F8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A4E5B"/>
  <w15:docId w15:val="{92308C28-5F99-4D0B-A0CB-2FA68AD0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A66C89"/>
    <w:rPr>
      <w:rFonts w:ascii="Verdana" w:hAnsi="Verdana" w:hint="default"/>
      <w:b/>
      <w:bCs/>
      <w:strike w:val="0"/>
      <w:dstrike w:val="0"/>
      <w:color w:val="000000"/>
      <w:sz w:val="17"/>
      <w:szCs w:val="17"/>
      <w:u w:val="none"/>
      <w:effect w:val="none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A66C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A66C89"/>
    <w:rPr>
      <w:rFonts w:ascii="Arial" w:eastAsia="Times New Roman" w:hAnsi="Arial" w:cs="Arial"/>
      <w:vanish/>
      <w:sz w:val="16"/>
      <w:szCs w:val="16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A66C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A66C89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image" Target="media/image10.wmf"/><Relationship Id="rId39" Type="http://schemas.openxmlformats.org/officeDocument/2006/relationships/control" Target="activeX/activeX19.xml"/><Relationship Id="rId21" Type="http://schemas.openxmlformats.org/officeDocument/2006/relationships/control" Target="activeX/activeX8.xml"/><Relationship Id="rId34" Type="http://schemas.openxmlformats.org/officeDocument/2006/relationships/image" Target="media/image14.wmf"/><Relationship Id="rId42" Type="http://schemas.openxmlformats.org/officeDocument/2006/relationships/control" Target="activeX/activeX21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control" Target="activeX/activeX1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7.xml"/><Relationship Id="rId40" Type="http://schemas.openxmlformats.org/officeDocument/2006/relationships/image" Target="media/image16.wmf"/><Relationship Id="rId45" Type="http://schemas.openxmlformats.org/officeDocument/2006/relationships/theme" Target="theme/theme1.xml"/><Relationship Id="rId5" Type="http://schemas.openxmlformats.org/officeDocument/2006/relationships/hyperlink" Target="javascript:doPrint('C&#225;lculo%20de%20Atualiza&#231;&#227;o%20Monet&#225;ria');" TargetMode="External"/><Relationship Id="rId15" Type="http://schemas.openxmlformats.org/officeDocument/2006/relationships/control" Target="activeX/activeX5.xml"/><Relationship Id="rId23" Type="http://schemas.openxmlformats.org/officeDocument/2006/relationships/control" Target="activeX/activeX10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control" Target="activeX/activeX14.xml"/><Relationship Id="rId44" Type="http://schemas.openxmlformats.org/officeDocument/2006/relationships/fontTable" Target="fontTable.xml"/><Relationship Id="rId4" Type="http://schemas.openxmlformats.org/officeDocument/2006/relationships/hyperlink" Target="http://drcalc.net/correcao.asp?it=3&amp;ml=Calc" TargetMode="Externa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control" Target="activeX/activeX9.xml"/><Relationship Id="rId27" Type="http://schemas.openxmlformats.org/officeDocument/2006/relationships/control" Target="activeX/activeX12.xml"/><Relationship Id="rId30" Type="http://schemas.openxmlformats.org/officeDocument/2006/relationships/image" Target="media/image12.wmf"/><Relationship Id="rId35" Type="http://schemas.openxmlformats.org/officeDocument/2006/relationships/control" Target="activeX/activeX16.xml"/><Relationship Id="rId43" Type="http://schemas.openxmlformats.org/officeDocument/2006/relationships/image" Target="media/image17.png"/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control" Target="activeX/activeX18.xml"/><Relationship Id="rId20" Type="http://schemas.openxmlformats.org/officeDocument/2006/relationships/image" Target="media/image8.wmf"/><Relationship Id="rId41" Type="http://schemas.openxmlformats.org/officeDocument/2006/relationships/control" Target="activeX/activeX2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Oliveira</dc:creator>
  <cp:keywords/>
  <cp:lastModifiedBy>Roberta Oliveira</cp:lastModifiedBy>
  <cp:revision>2</cp:revision>
  <cp:lastPrinted>2018-04-05T13:01:00Z</cp:lastPrinted>
  <dcterms:created xsi:type="dcterms:W3CDTF">2018-04-05T14:07:00Z</dcterms:created>
  <dcterms:modified xsi:type="dcterms:W3CDTF">2018-04-05T14:07:00Z</dcterms:modified>
</cp:coreProperties>
</file>